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4DBB" w14:textId="77777777" w:rsidR="0045181B" w:rsidRDefault="00F05F3C" w:rsidP="0045181B">
      <w:pPr>
        <w:spacing w:after="0"/>
        <w:jc w:val="center"/>
        <w:rPr>
          <w:rFonts w:ascii="Arial" w:hAnsi="Arial" w:cs="Arial"/>
          <w:b/>
          <w:u w:val="single"/>
        </w:rPr>
      </w:pPr>
      <w:r w:rsidRPr="00F05F3C">
        <w:rPr>
          <w:rFonts w:ascii="Arial" w:hAnsi="Arial" w:cs="Arial"/>
          <w:b/>
          <w:u w:val="single"/>
        </w:rPr>
        <w:t xml:space="preserve">Research Supplements to Promote Diversity in Health-Related Research </w:t>
      </w:r>
    </w:p>
    <w:p w14:paraId="6286AC92" w14:textId="60C66180" w:rsidR="00F05F3C" w:rsidRPr="00F05F3C" w:rsidRDefault="00F05F3C" w:rsidP="0045181B">
      <w:pPr>
        <w:jc w:val="center"/>
        <w:rPr>
          <w:rFonts w:ascii="Arial" w:hAnsi="Arial" w:cs="Arial"/>
          <w:b/>
          <w:u w:val="single"/>
        </w:rPr>
      </w:pPr>
      <w:r w:rsidRPr="00F05F3C">
        <w:rPr>
          <w:rFonts w:ascii="Arial" w:hAnsi="Arial" w:cs="Arial"/>
          <w:b/>
          <w:u w:val="single"/>
        </w:rPr>
        <w:t>(Diversity Supplement</w:t>
      </w:r>
    </w:p>
    <w:p w14:paraId="4615AEBF" w14:textId="639742F1" w:rsidR="00E47AB2" w:rsidRPr="00F05F3C" w:rsidRDefault="00F05F3C" w:rsidP="00F05F3C">
      <w:pPr>
        <w:spacing w:line="240" w:lineRule="auto"/>
        <w:jc w:val="center"/>
        <w:rPr>
          <w:rFonts w:ascii="Arial" w:hAnsi="Arial" w:cs="Arial"/>
          <w:color w:val="000000"/>
        </w:rPr>
      </w:pPr>
      <w:r w:rsidRPr="00F05F3C">
        <w:rPr>
          <w:rFonts w:ascii="Arial" w:hAnsi="Arial" w:cs="Arial"/>
          <w:b/>
          <w:u w:val="single"/>
        </w:rPr>
        <w:t>Parent Grant</w:t>
      </w:r>
      <w:r w:rsidRPr="00F05F3C">
        <w:rPr>
          <w:rFonts w:ascii="Arial" w:hAnsi="Arial" w:cs="Arial"/>
          <w:u w:val="single"/>
        </w:rPr>
        <w:t>:  Duke Pepper Older Americans Independence Center (OAIC)</w:t>
      </w:r>
    </w:p>
    <w:p w14:paraId="2D190FC3" w14:textId="1AD8823E" w:rsidR="006A3616" w:rsidRDefault="006A3616" w:rsidP="006A3616">
      <w:pPr>
        <w:spacing w:line="240" w:lineRule="auto"/>
        <w:rPr>
          <w:rFonts w:ascii="Arial" w:hAnsi="Arial" w:cs="Arial"/>
          <w:b/>
          <w:u w:val="single"/>
        </w:rPr>
      </w:pPr>
    </w:p>
    <w:p w14:paraId="7F094F13" w14:textId="77777777" w:rsidR="006A3616" w:rsidRDefault="006A3616" w:rsidP="006A3616">
      <w:pPr>
        <w:spacing w:line="240" w:lineRule="auto"/>
        <w:rPr>
          <w:rFonts w:ascii="Arial" w:hAnsi="Arial" w:cs="Arial"/>
          <w:b/>
          <w:u w:val="single"/>
        </w:rPr>
      </w:pPr>
    </w:p>
    <w:p w14:paraId="48DDA7BC" w14:textId="274309AF" w:rsidR="00E47AB2" w:rsidRPr="006A3616" w:rsidRDefault="00F05F3C" w:rsidP="006A3616">
      <w:pPr>
        <w:spacing w:line="240" w:lineRule="auto"/>
        <w:rPr>
          <w:rFonts w:ascii="Arial" w:hAnsi="Arial" w:cs="Arial"/>
          <w:b/>
        </w:rPr>
      </w:pPr>
      <w:r>
        <w:rPr>
          <w:rFonts w:ascii="Arial" w:hAnsi="Arial" w:cs="Arial"/>
          <w:b/>
          <w:u w:val="single"/>
        </w:rPr>
        <w:t>Purpose of the Award</w:t>
      </w:r>
      <w:r w:rsidR="00E47AB2" w:rsidRPr="006A3616">
        <w:rPr>
          <w:rFonts w:ascii="Arial" w:hAnsi="Arial" w:cs="Arial"/>
          <w:b/>
        </w:rPr>
        <w:t xml:space="preserve"> </w:t>
      </w:r>
    </w:p>
    <w:p w14:paraId="2DFC166B" w14:textId="7C92BDB1" w:rsidR="006A3616" w:rsidRDefault="00F05F3C" w:rsidP="006A3616">
      <w:pPr>
        <w:spacing w:line="240" w:lineRule="auto"/>
        <w:rPr>
          <w:rFonts w:ascii="Arial" w:hAnsi="Arial" w:cs="Arial"/>
          <w:b/>
          <w:u w:val="single"/>
          <w:shd w:val="clear" w:color="auto" w:fill="FFFFFF"/>
        </w:rPr>
      </w:pPr>
      <w:r w:rsidRPr="00903891">
        <w:rPr>
          <w:rFonts w:ascii="Arial" w:hAnsi="Arial" w:cs="Arial"/>
        </w:rPr>
        <w:t>T</w:t>
      </w:r>
      <w:r w:rsidRPr="00903891">
        <w:rPr>
          <w:rFonts w:ascii="Arial" w:hAnsi="Arial" w:cs="Arial"/>
          <w:color w:val="000000"/>
        </w:rPr>
        <w:t xml:space="preserve">he goal of this administrative supplement is to increase diversity in aging research workforce by promoting the research and career development of an eligible investigator with a focus area on physical reserve and resilience.  </w:t>
      </w:r>
      <w:r w:rsidRPr="00903891">
        <w:rPr>
          <w:rFonts w:ascii="Arial" w:hAnsi="Arial" w:cs="Arial"/>
        </w:rPr>
        <w:t>We will select one investigator to apply for a Diversity Supplement.  The OAIC investigators will work closely with the selected applicant to develop a competitive application.   The National Institutes of Aging will make the final funding decision.</w:t>
      </w:r>
    </w:p>
    <w:p w14:paraId="178F8DCD" w14:textId="77777777" w:rsidR="006A3616" w:rsidRDefault="006A3616" w:rsidP="006A3616">
      <w:pPr>
        <w:spacing w:line="240" w:lineRule="auto"/>
        <w:rPr>
          <w:rFonts w:ascii="Arial" w:hAnsi="Arial" w:cs="Arial"/>
          <w:b/>
          <w:u w:val="single"/>
          <w:shd w:val="clear" w:color="auto" w:fill="FFFFFF"/>
        </w:rPr>
      </w:pPr>
    </w:p>
    <w:p w14:paraId="19E351E2" w14:textId="1E7C27A9" w:rsidR="00E47AB2" w:rsidRPr="006A3616" w:rsidRDefault="00F05F3C" w:rsidP="006A3616">
      <w:pPr>
        <w:spacing w:line="240" w:lineRule="auto"/>
        <w:rPr>
          <w:rFonts w:ascii="Arial" w:hAnsi="Arial" w:cs="Arial"/>
          <w:b/>
          <w:u w:val="single"/>
          <w:shd w:val="clear" w:color="auto" w:fill="FFFFFF"/>
        </w:rPr>
      </w:pPr>
      <w:r>
        <w:rPr>
          <w:rFonts w:ascii="Arial" w:hAnsi="Arial" w:cs="Arial"/>
          <w:b/>
          <w:u w:val="single"/>
          <w:shd w:val="clear" w:color="auto" w:fill="FFFFFF"/>
        </w:rPr>
        <w:t>Parent Grant</w:t>
      </w:r>
    </w:p>
    <w:p w14:paraId="1D0D8A9A" w14:textId="77777777" w:rsidR="00F05F3C" w:rsidRDefault="00F05F3C" w:rsidP="00F05F3C">
      <w:pPr>
        <w:rPr>
          <w:rFonts w:ascii="Arial" w:hAnsi="Arial" w:cs="Arial"/>
        </w:rPr>
      </w:pPr>
      <w:r w:rsidRPr="00903891">
        <w:rPr>
          <w:rFonts w:ascii="Arial" w:hAnsi="Arial" w:cs="Arial"/>
        </w:rPr>
        <w:t xml:space="preserve">The Duke Pepper Older Americans Independence Center (OAIC) (NIA P30 AG028716-01) aims to promote research career development in aging research through its Core resources. The central theme of our OIAC is to </w:t>
      </w:r>
      <w:r w:rsidRPr="00903891">
        <w:rPr>
          <w:rFonts w:ascii="Arial" w:hAnsi="Arial" w:cs="Arial"/>
          <w:b/>
        </w:rPr>
        <w:t>understand and enhance reserve and resilience to promote recovery from stressors in late life</w:t>
      </w:r>
      <w:r w:rsidRPr="00903891">
        <w:rPr>
          <w:rFonts w:ascii="Arial" w:hAnsi="Arial" w:cs="Arial"/>
        </w:rPr>
        <w:t xml:space="preserve">. The three Research Cores include: </w:t>
      </w:r>
    </w:p>
    <w:p w14:paraId="3BED568E" w14:textId="18541F12" w:rsidR="00F05F3C" w:rsidRDefault="00F05F3C" w:rsidP="00F05F3C">
      <w:pPr>
        <w:pStyle w:val="ListParagraph"/>
        <w:numPr>
          <w:ilvl w:val="0"/>
          <w:numId w:val="10"/>
        </w:numPr>
        <w:rPr>
          <w:rFonts w:ascii="Arial" w:hAnsi="Arial" w:cs="Arial"/>
        </w:rPr>
      </w:pPr>
      <w:r w:rsidRPr="00F05F3C">
        <w:rPr>
          <w:rFonts w:ascii="Arial" w:hAnsi="Arial" w:cs="Arial"/>
          <w:b/>
        </w:rPr>
        <w:t>Analysis Core</w:t>
      </w:r>
      <w:r w:rsidRPr="00F05F3C">
        <w:rPr>
          <w:rFonts w:ascii="Arial" w:hAnsi="Arial" w:cs="Arial"/>
        </w:rPr>
        <w:t>, which provides statistical and technical support for projects as well as furthering statistical and analytical science</w:t>
      </w:r>
      <w:r>
        <w:rPr>
          <w:rFonts w:ascii="Arial" w:hAnsi="Arial" w:cs="Arial"/>
        </w:rPr>
        <w:t>.</w:t>
      </w:r>
    </w:p>
    <w:p w14:paraId="2EDD859E" w14:textId="527CC9BC" w:rsidR="00F05F3C" w:rsidRDefault="00F05F3C" w:rsidP="00F05F3C">
      <w:pPr>
        <w:pStyle w:val="ListParagraph"/>
        <w:numPr>
          <w:ilvl w:val="0"/>
          <w:numId w:val="10"/>
        </w:numPr>
        <w:rPr>
          <w:rFonts w:ascii="Arial" w:hAnsi="Arial" w:cs="Arial"/>
        </w:rPr>
      </w:pPr>
      <w:r w:rsidRPr="00F05F3C">
        <w:rPr>
          <w:rFonts w:ascii="Arial" w:hAnsi="Arial" w:cs="Arial"/>
          <w:b/>
        </w:rPr>
        <w:t>Molecular Measures Core</w:t>
      </w:r>
      <w:r w:rsidRPr="00F05F3C">
        <w:rPr>
          <w:rFonts w:ascii="Arial" w:hAnsi="Arial" w:cs="Arial"/>
        </w:rPr>
        <w:t>, which provides comprehensive biomarkers phenotyping to characterize biochemical, metabolic and genet</w:t>
      </w:r>
      <w:r>
        <w:rPr>
          <w:rFonts w:ascii="Arial" w:hAnsi="Arial" w:cs="Arial"/>
        </w:rPr>
        <w:t>ic bases for aging research.</w:t>
      </w:r>
    </w:p>
    <w:p w14:paraId="512BDDC5" w14:textId="2093D61B" w:rsidR="006A3616" w:rsidRDefault="00F05F3C" w:rsidP="00F05F3C">
      <w:pPr>
        <w:pStyle w:val="ListParagraph"/>
        <w:numPr>
          <w:ilvl w:val="0"/>
          <w:numId w:val="10"/>
        </w:numPr>
        <w:rPr>
          <w:rFonts w:ascii="Arial" w:hAnsi="Arial" w:cs="Arial"/>
        </w:rPr>
      </w:pPr>
      <w:r w:rsidRPr="00F05F3C">
        <w:rPr>
          <w:rFonts w:ascii="Arial" w:hAnsi="Arial" w:cs="Arial"/>
          <w:b/>
        </w:rPr>
        <w:t>Health and Mobility Measures Core</w:t>
      </w:r>
      <w:r w:rsidRPr="00F05F3C">
        <w:rPr>
          <w:rFonts w:ascii="Arial" w:hAnsi="Arial" w:cs="Arial"/>
        </w:rPr>
        <w:t xml:space="preserve"> which provides expertise, devices, equipment and protocols for functional, physical and psychological measures.</w:t>
      </w:r>
    </w:p>
    <w:p w14:paraId="62898107" w14:textId="4E062790" w:rsidR="00F875BA" w:rsidRDefault="00F875BA" w:rsidP="00F875BA">
      <w:pPr>
        <w:rPr>
          <w:rFonts w:ascii="Arial" w:hAnsi="Arial" w:cs="Arial"/>
        </w:rPr>
      </w:pPr>
    </w:p>
    <w:p w14:paraId="77D3527F" w14:textId="40930B0D" w:rsidR="00F875BA" w:rsidRPr="006A3616" w:rsidRDefault="00C44C4B" w:rsidP="00F875BA">
      <w:pPr>
        <w:spacing w:line="240" w:lineRule="auto"/>
        <w:rPr>
          <w:rFonts w:ascii="Arial" w:hAnsi="Arial" w:cs="Arial"/>
          <w:b/>
          <w:u w:val="single"/>
          <w:shd w:val="clear" w:color="auto" w:fill="FFFFFF"/>
        </w:rPr>
      </w:pPr>
      <w:r>
        <w:rPr>
          <w:rFonts w:ascii="Arial" w:hAnsi="Arial" w:cs="Arial"/>
          <w:b/>
          <w:u w:val="single"/>
          <w:shd w:val="clear" w:color="auto" w:fill="FFFFFF"/>
        </w:rPr>
        <w:t>Eligibility</w:t>
      </w:r>
    </w:p>
    <w:p w14:paraId="1F3E5128" w14:textId="77777777" w:rsidR="00F875BA" w:rsidRPr="00903891" w:rsidRDefault="00F875BA" w:rsidP="00F875BA">
      <w:pPr>
        <w:rPr>
          <w:rFonts w:ascii="Arial" w:hAnsi="Arial" w:cs="Arial"/>
        </w:rPr>
      </w:pPr>
      <w:r w:rsidRPr="00903891">
        <w:rPr>
          <w:rFonts w:ascii="Arial" w:hAnsi="Arial" w:cs="Arial"/>
        </w:rPr>
        <w:t>Applicants must be a US citizen or permanent resident who is a member of a group that is under-represented in biomedical research, defined by NIH as:</w:t>
      </w:r>
    </w:p>
    <w:p w14:paraId="34BC1EA2" w14:textId="77777777" w:rsidR="00F875BA" w:rsidRPr="00903891" w:rsidRDefault="00F875BA" w:rsidP="00F875BA">
      <w:pPr>
        <w:numPr>
          <w:ilvl w:val="1"/>
          <w:numId w:val="11"/>
        </w:numPr>
        <w:spacing w:after="0" w:line="240" w:lineRule="auto"/>
        <w:rPr>
          <w:rFonts w:ascii="Arial" w:hAnsi="Arial" w:cs="Arial"/>
        </w:rPr>
      </w:pPr>
      <w:r w:rsidRPr="00903891">
        <w:rPr>
          <w:rFonts w:ascii="Arial" w:hAnsi="Arial" w:cs="Arial"/>
        </w:rPr>
        <w:t xml:space="preserve">Racial and ethnic minority groups </w:t>
      </w:r>
    </w:p>
    <w:p w14:paraId="2FF0020C" w14:textId="77777777" w:rsidR="00F875BA" w:rsidRPr="00903891" w:rsidRDefault="00F875BA" w:rsidP="00F875BA">
      <w:pPr>
        <w:numPr>
          <w:ilvl w:val="2"/>
          <w:numId w:val="11"/>
        </w:numPr>
        <w:spacing w:after="0" w:line="240" w:lineRule="auto"/>
        <w:rPr>
          <w:rFonts w:ascii="Arial" w:hAnsi="Arial" w:cs="Arial"/>
        </w:rPr>
      </w:pPr>
      <w:r w:rsidRPr="00903891">
        <w:rPr>
          <w:rFonts w:ascii="Arial" w:hAnsi="Arial" w:cs="Arial"/>
        </w:rPr>
        <w:t>Blacks or African Americans</w:t>
      </w:r>
    </w:p>
    <w:p w14:paraId="258B4DFE" w14:textId="77777777" w:rsidR="00F875BA" w:rsidRPr="00903891" w:rsidRDefault="00F875BA" w:rsidP="00F875BA">
      <w:pPr>
        <w:numPr>
          <w:ilvl w:val="2"/>
          <w:numId w:val="11"/>
        </w:numPr>
        <w:spacing w:after="0" w:line="240" w:lineRule="auto"/>
        <w:rPr>
          <w:rFonts w:ascii="Arial" w:hAnsi="Arial" w:cs="Arial"/>
        </w:rPr>
      </w:pPr>
      <w:r w:rsidRPr="00903891">
        <w:rPr>
          <w:rFonts w:ascii="Arial" w:hAnsi="Arial" w:cs="Arial"/>
        </w:rPr>
        <w:t>Hispanics or Latinos</w:t>
      </w:r>
    </w:p>
    <w:p w14:paraId="6C3BD59F" w14:textId="77777777" w:rsidR="00F875BA" w:rsidRPr="00903891" w:rsidRDefault="00F875BA" w:rsidP="00F875BA">
      <w:pPr>
        <w:numPr>
          <w:ilvl w:val="2"/>
          <w:numId w:val="11"/>
        </w:numPr>
        <w:spacing w:after="0" w:line="240" w:lineRule="auto"/>
        <w:rPr>
          <w:rFonts w:ascii="Arial" w:hAnsi="Arial" w:cs="Arial"/>
        </w:rPr>
      </w:pPr>
      <w:r w:rsidRPr="00903891">
        <w:rPr>
          <w:rFonts w:ascii="Arial" w:hAnsi="Arial" w:cs="Arial"/>
        </w:rPr>
        <w:t>American Indians or Alaska Natives</w:t>
      </w:r>
    </w:p>
    <w:p w14:paraId="4E7F387C" w14:textId="77777777" w:rsidR="00F875BA" w:rsidRPr="00903891" w:rsidRDefault="00F875BA" w:rsidP="00F875BA">
      <w:pPr>
        <w:numPr>
          <w:ilvl w:val="2"/>
          <w:numId w:val="11"/>
        </w:numPr>
        <w:spacing w:after="0" w:line="240" w:lineRule="auto"/>
        <w:rPr>
          <w:rFonts w:ascii="Arial" w:hAnsi="Arial" w:cs="Arial"/>
        </w:rPr>
      </w:pPr>
      <w:r w:rsidRPr="00903891">
        <w:rPr>
          <w:rFonts w:ascii="Arial" w:hAnsi="Arial" w:cs="Arial"/>
        </w:rPr>
        <w:t>Native Hawaiians and other Pacific Islanders</w:t>
      </w:r>
    </w:p>
    <w:p w14:paraId="01A6D37A" w14:textId="77777777" w:rsidR="00F875BA" w:rsidRPr="00903891" w:rsidRDefault="00F875BA" w:rsidP="00F875BA">
      <w:pPr>
        <w:numPr>
          <w:ilvl w:val="1"/>
          <w:numId w:val="11"/>
        </w:numPr>
        <w:spacing w:after="0" w:line="240" w:lineRule="auto"/>
        <w:rPr>
          <w:rFonts w:ascii="Arial" w:hAnsi="Arial" w:cs="Arial"/>
        </w:rPr>
      </w:pPr>
      <w:r w:rsidRPr="00903891">
        <w:rPr>
          <w:rFonts w:ascii="Arial" w:hAnsi="Arial" w:cs="Arial"/>
        </w:rPr>
        <w:t>Individuals with disabilities—physical or mental disabilities that limit major life activities</w:t>
      </w:r>
    </w:p>
    <w:p w14:paraId="780BAE68" w14:textId="77777777" w:rsidR="00F875BA" w:rsidRPr="00903891" w:rsidRDefault="00F875BA" w:rsidP="00F875BA">
      <w:pPr>
        <w:numPr>
          <w:ilvl w:val="1"/>
          <w:numId w:val="11"/>
        </w:numPr>
        <w:spacing w:after="0" w:line="240" w:lineRule="auto"/>
        <w:rPr>
          <w:rFonts w:ascii="Arial" w:hAnsi="Arial" w:cs="Arial"/>
        </w:rPr>
      </w:pPr>
      <w:r w:rsidRPr="00903891">
        <w:rPr>
          <w:rFonts w:ascii="Arial" w:hAnsi="Arial" w:cs="Arial"/>
          <w:color w:val="333333"/>
        </w:rPr>
        <w:t>Individuals from disadvantaged backgrounds, defined as those who meet </w:t>
      </w:r>
      <w:r w:rsidRPr="00903891">
        <w:rPr>
          <w:rFonts w:ascii="Arial" w:hAnsi="Arial" w:cs="Arial"/>
          <w:i/>
          <w:iCs/>
          <w:color w:val="333333"/>
        </w:rPr>
        <w:t>two or more</w:t>
      </w:r>
      <w:r w:rsidRPr="00903891">
        <w:rPr>
          <w:rFonts w:ascii="Arial" w:hAnsi="Arial" w:cs="Arial"/>
          <w:color w:val="333333"/>
        </w:rPr>
        <w:t> of the following criteria: </w:t>
      </w:r>
    </w:p>
    <w:p w14:paraId="732EC9BC" w14:textId="77777777" w:rsidR="00F875BA" w:rsidRPr="00903891" w:rsidRDefault="00F875BA" w:rsidP="00F875BA">
      <w:pPr>
        <w:numPr>
          <w:ilvl w:val="2"/>
          <w:numId w:val="11"/>
        </w:numPr>
        <w:spacing w:after="0" w:line="240" w:lineRule="auto"/>
        <w:rPr>
          <w:rFonts w:ascii="Arial" w:hAnsi="Arial" w:cs="Arial"/>
        </w:rPr>
      </w:pPr>
      <w:r w:rsidRPr="00903891">
        <w:rPr>
          <w:rFonts w:ascii="Arial" w:hAnsi="Arial" w:cs="Arial"/>
          <w:color w:val="333333"/>
        </w:rPr>
        <w:t>Were or currently are homeless</w:t>
      </w:r>
    </w:p>
    <w:p w14:paraId="64FE23B6" w14:textId="77777777" w:rsidR="00F875BA" w:rsidRPr="00903891" w:rsidRDefault="00F875BA" w:rsidP="00F875BA">
      <w:pPr>
        <w:numPr>
          <w:ilvl w:val="2"/>
          <w:numId w:val="11"/>
        </w:numPr>
        <w:spacing w:after="0" w:line="240" w:lineRule="auto"/>
        <w:rPr>
          <w:rFonts w:ascii="Arial" w:hAnsi="Arial" w:cs="Arial"/>
        </w:rPr>
      </w:pPr>
      <w:r w:rsidRPr="00903891">
        <w:rPr>
          <w:rFonts w:ascii="Arial" w:hAnsi="Arial" w:cs="Arial"/>
          <w:color w:val="333333"/>
        </w:rPr>
        <w:lastRenderedPageBreak/>
        <w:t>Were or currently are in the foster care system</w:t>
      </w:r>
    </w:p>
    <w:p w14:paraId="04ACE50C" w14:textId="77777777" w:rsidR="00F875BA" w:rsidRPr="00903891" w:rsidRDefault="00F875BA" w:rsidP="00F875BA">
      <w:pPr>
        <w:numPr>
          <w:ilvl w:val="2"/>
          <w:numId w:val="11"/>
        </w:numPr>
        <w:spacing w:after="0" w:line="240" w:lineRule="auto"/>
        <w:rPr>
          <w:rFonts w:ascii="Arial" w:hAnsi="Arial" w:cs="Arial"/>
        </w:rPr>
      </w:pPr>
      <w:r w:rsidRPr="00903891">
        <w:rPr>
          <w:rFonts w:ascii="Arial" w:hAnsi="Arial" w:cs="Arial"/>
          <w:color w:val="333333"/>
        </w:rPr>
        <w:t>Were eligible for the Federal Free/Reduced Lunch Program for two or more years</w:t>
      </w:r>
    </w:p>
    <w:p w14:paraId="77DBAE5C" w14:textId="77777777" w:rsidR="00F875BA" w:rsidRPr="00903891" w:rsidRDefault="00F875BA" w:rsidP="00F875BA">
      <w:pPr>
        <w:numPr>
          <w:ilvl w:val="2"/>
          <w:numId w:val="11"/>
        </w:numPr>
        <w:spacing w:after="0" w:line="240" w:lineRule="auto"/>
        <w:rPr>
          <w:rFonts w:ascii="Arial" w:hAnsi="Arial" w:cs="Arial"/>
        </w:rPr>
      </w:pPr>
      <w:r w:rsidRPr="00903891">
        <w:rPr>
          <w:rFonts w:ascii="Arial" w:hAnsi="Arial" w:cs="Arial"/>
          <w:color w:val="333333"/>
        </w:rPr>
        <w:t>Have/had no parents or legal guardians who completed a bachelor’s degree (see </w:t>
      </w:r>
      <w:hyperlink r:id="rId8" w:history="1">
        <w:r w:rsidRPr="00903891">
          <w:rPr>
            <w:rStyle w:val="Hyperlink"/>
            <w:rFonts w:ascii="Arial" w:hAnsi="Arial" w:cs="Arial"/>
            <w:color w:val="428BCA"/>
          </w:rPr>
          <w:t>https://nces.ed.gov/pubs2018/2018009.pdf</w:t>
        </w:r>
      </w:hyperlink>
      <w:r w:rsidRPr="00903891">
        <w:rPr>
          <w:rFonts w:ascii="Arial" w:hAnsi="Arial" w:cs="Arial"/>
          <w:color w:val="333333"/>
        </w:rPr>
        <w:t>);</w:t>
      </w:r>
    </w:p>
    <w:p w14:paraId="41BCF7AF" w14:textId="77777777" w:rsidR="00F875BA" w:rsidRPr="00903891" w:rsidRDefault="00F875BA" w:rsidP="00F875BA">
      <w:pPr>
        <w:numPr>
          <w:ilvl w:val="2"/>
          <w:numId w:val="11"/>
        </w:numPr>
        <w:spacing w:after="0" w:line="240" w:lineRule="auto"/>
        <w:rPr>
          <w:rFonts w:ascii="Arial" w:hAnsi="Arial" w:cs="Arial"/>
        </w:rPr>
      </w:pPr>
      <w:r w:rsidRPr="00903891">
        <w:rPr>
          <w:rFonts w:ascii="Arial" w:hAnsi="Arial" w:cs="Arial"/>
          <w:color w:val="333333"/>
        </w:rPr>
        <w:t>Were or currently are eligible for Federal Pell grants</w:t>
      </w:r>
    </w:p>
    <w:p w14:paraId="0976BC95" w14:textId="77777777" w:rsidR="00F875BA" w:rsidRPr="00903891" w:rsidRDefault="00F875BA" w:rsidP="00F875BA">
      <w:pPr>
        <w:numPr>
          <w:ilvl w:val="2"/>
          <w:numId w:val="11"/>
        </w:numPr>
        <w:spacing w:after="0" w:line="240" w:lineRule="auto"/>
        <w:rPr>
          <w:rFonts w:ascii="Arial" w:hAnsi="Arial" w:cs="Arial"/>
        </w:rPr>
      </w:pPr>
      <w:r w:rsidRPr="00903891">
        <w:rPr>
          <w:rFonts w:ascii="Arial" w:hAnsi="Arial" w:cs="Arial"/>
          <w:color w:val="333333"/>
        </w:rPr>
        <w:t>Received support from Supplemental Nutrition Program for Women, Infants and Children (WIC) as a parent or child</w:t>
      </w:r>
    </w:p>
    <w:p w14:paraId="2B2D68F6" w14:textId="77777777" w:rsidR="00F875BA" w:rsidRPr="00903891" w:rsidRDefault="00F875BA" w:rsidP="00F875BA">
      <w:pPr>
        <w:numPr>
          <w:ilvl w:val="2"/>
          <w:numId w:val="11"/>
        </w:numPr>
        <w:spacing w:after="0" w:line="240" w:lineRule="auto"/>
        <w:rPr>
          <w:rFonts w:ascii="Arial" w:hAnsi="Arial" w:cs="Arial"/>
          <w:color w:val="333333"/>
        </w:rPr>
      </w:pPr>
      <w:r w:rsidRPr="00903891">
        <w:rPr>
          <w:rFonts w:ascii="Arial" w:hAnsi="Arial" w:cs="Arial"/>
          <w:color w:val="333333"/>
        </w:rPr>
        <w:t>Grew up in a U.S. designated rural area or a Centers for Medicare and Medicaid Services-designated Low-Income and Health Professional Shortage Areas</w:t>
      </w:r>
    </w:p>
    <w:p w14:paraId="08206E20" w14:textId="77777777" w:rsidR="00F875BA" w:rsidRPr="00903891" w:rsidRDefault="00F875BA" w:rsidP="00F875BA">
      <w:pPr>
        <w:numPr>
          <w:ilvl w:val="1"/>
          <w:numId w:val="11"/>
        </w:numPr>
        <w:spacing w:after="0" w:line="240" w:lineRule="auto"/>
        <w:rPr>
          <w:rFonts w:ascii="Arial" w:hAnsi="Arial" w:cs="Arial"/>
        </w:rPr>
      </w:pPr>
      <w:r w:rsidRPr="00903891">
        <w:rPr>
          <w:rFonts w:ascii="Arial" w:hAnsi="Arial" w:cs="Arial"/>
        </w:rPr>
        <w:t>Particularly women in any of these groups</w:t>
      </w:r>
    </w:p>
    <w:p w14:paraId="5F2D8369" w14:textId="77777777" w:rsidR="00F875BA" w:rsidRPr="00903891" w:rsidRDefault="00F875BA" w:rsidP="00F875BA">
      <w:pPr>
        <w:numPr>
          <w:ilvl w:val="1"/>
          <w:numId w:val="11"/>
        </w:numPr>
        <w:spacing w:after="0" w:line="240" w:lineRule="auto"/>
        <w:rPr>
          <w:rFonts w:ascii="Arial" w:hAnsi="Arial" w:cs="Arial"/>
        </w:rPr>
      </w:pPr>
      <w:r w:rsidRPr="00903891">
        <w:rPr>
          <w:rFonts w:ascii="Arial" w:hAnsi="Arial" w:cs="Arial"/>
        </w:rPr>
        <w:t>Applicants must be post-doctoral fellows</w:t>
      </w:r>
      <w:r w:rsidRPr="00903891">
        <w:rPr>
          <w:rStyle w:val="CommentReference"/>
          <w:rFonts w:ascii="Arial" w:hAnsi="Arial" w:cs="Arial"/>
          <w:sz w:val="24"/>
          <w:szCs w:val="24"/>
        </w:rPr>
        <w:t>, M</w:t>
      </w:r>
      <w:r w:rsidRPr="00903891">
        <w:rPr>
          <w:rFonts w:ascii="Arial" w:hAnsi="Arial" w:cs="Arial"/>
        </w:rPr>
        <w:t>edical Instructors, or Assistant Professors</w:t>
      </w:r>
    </w:p>
    <w:p w14:paraId="70173F6A" w14:textId="77777777" w:rsidR="00F875BA" w:rsidRPr="00903891" w:rsidRDefault="00F875BA" w:rsidP="00F875BA">
      <w:pPr>
        <w:numPr>
          <w:ilvl w:val="1"/>
          <w:numId w:val="11"/>
        </w:numPr>
        <w:spacing w:after="0" w:line="240" w:lineRule="auto"/>
        <w:rPr>
          <w:rFonts w:ascii="Arial" w:hAnsi="Arial" w:cs="Arial"/>
        </w:rPr>
      </w:pPr>
      <w:r w:rsidRPr="00903891">
        <w:rPr>
          <w:rFonts w:ascii="Arial" w:hAnsi="Arial" w:cs="Arial"/>
        </w:rPr>
        <w:t xml:space="preserve">PHS funded investigators are NOT eligible.  PHS funded investigators include those who currently have or have received </w:t>
      </w:r>
      <w:r w:rsidRPr="00903891">
        <w:rPr>
          <w:rFonts w:ascii="Arial" w:hAnsi="Arial" w:cs="Arial"/>
          <w:color w:val="000000"/>
          <w:shd w:val="clear" w:color="auto" w:fill="FFFFFF"/>
        </w:rPr>
        <w:t xml:space="preserve">R01 and R01-equivalent grants, P01, P50 (including subproject/core leads), K01, K07, K08, K22, K23, K25, K76, K99/R00. R01-equivalent grants are defined as activity codes DP1, DP2, DP5, R37, R56, RF1, RL1, U01 and R35. </w:t>
      </w:r>
    </w:p>
    <w:p w14:paraId="5D288DC3" w14:textId="46E8B168" w:rsidR="00F875BA" w:rsidRPr="00F875BA" w:rsidRDefault="00F875BA" w:rsidP="00F875BA">
      <w:pPr>
        <w:rPr>
          <w:rFonts w:ascii="Arial" w:hAnsi="Arial" w:cs="Arial"/>
        </w:rPr>
      </w:pPr>
      <w:r w:rsidRPr="00903891">
        <w:rPr>
          <w:rFonts w:ascii="Arial" w:hAnsi="Arial" w:cs="Arial"/>
        </w:rPr>
        <w:t xml:space="preserve">Candidates receiving pilot funds </w:t>
      </w:r>
      <w:r w:rsidRPr="00903891">
        <w:rPr>
          <w:rFonts w:ascii="Arial" w:hAnsi="Arial" w:cs="Arial"/>
          <w:color w:val="000000"/>
          <w:shd w:val="clear" w:color="auto" w:fill="FFFFFF"/>
        </w:rPr>
        <w:t>from the Duke OAIC may be considered for Diversity supplement if supplement is for non-duplicative costs</w:t>
      </w:r>
      <w:r w:rsidRPr="00903891">
        <w:rPr>
          <w:rFonts w:ascii="Arial" w:hAnsi="Arial" w:cs="Arial"/>
          <w:color w:val="000000"/>
          <w:sz w:val="33"/>
          <w:szCs w:val="33"/>
          <w:shd w:val="clear" w:color="auto" w:fill="FFFFFF"/>
        </w:rPr>
        <w:t>.</w:t>
      </w:r>
    </w:p>
    <w:p w14:paraId="741DCE6F" w14:textId="4B88C1B2" w:rsidR="00E47AB2" w:rsidRPr="006A3616" w:rsidRDefault="00ED11F3" w:rsidP="006A3616">
      <w:pPr>
        <w:spacing w:line="240" w:lineRule="auto"/>
        <w:rPr>
          <w:rFonts w:ascii="Arial" w:hAnsi="Arial" w:cs="Arial"/>
          <w:shd w:val="clear" w:color="auto" w:fill="FFFFFF"/>
        </w:rPr>
      </w:pPr>
      <w:r w:rsidRPr="006A3616">
        <w:rPr>
          <w:rFonts w:ascii="Arial" w:hAnsi="Arial" w:cs="Arial"/>
          <w:noProof/>
          <w:shd w:val="clear" w:color="auto" w:fill="FFFFFF"/>
        </w:rPr>
        <w:drawing>
          <wp:inline distT="0" distB="0" distL="0" distR="0" wp14:anchorId="6CBDFD2E" wp14:editId="4FA6C66B">
            <wp:extent cx="5943600" cy="459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91050"/>
                    </a:xfrm>
                    <a:prstGeom prst="rect">
                      <a:avLst/>
                    </a:prstGeom>
                    <a:noFill/>
                    <a:ln>
                      <a:noFill/>
                    </a:ln>
                  </pic:spPr>
                </pic:pic>
              </a:graphicData>
            </a:graphic>
          </wp:inline>
        </w:drawing>
      </w:r>
    </w:p>
    <w:p w14:paraId="36856E0A" w14:textId="1B17D112" w:rsidR="00E47AB2" w:rsidRDefault="00C44C4B" w:rsidP="006A3616">
      <w:pPr>
        <w:spacing w:line="240" w:lineRule="auto"/>
        <w:rPr>
          <w:rFonts w:ascii="Arial" w:hAnsi="Arial" w:cs="Arial"/>
          <w:b/>
          <w:u w:val="single"/>
          <w:shd w:val="clear" w:color="auto" w:fill="FFFFFF"/>
        </w:rPr>
      </w:pPr>
      <w:r w:rsidRPr="00C44C4B">
        <w:rPr>
          <w:rFonts w:ascii="Arial" w:hAnsi="Arial" w:cs="Arial"/>
          <w:b/>
          <w:u w:val="single"/>
          <w:shd w:val="clear" w:color="auto" w:fill="FFFFFF"/>
        </w:rPr>
        <w:lastRenderedPageBreak/>
        <w:t>Budget and Mentorship</w:t>
      </w:r>
    </w:p>
    <w:p w14:paraId="417E1589" w14:textId="77777777" w:rsidR="00C44C4B" w:rsidRPr="00903891" w:rsidRDefault="00C44C4B" w:rsidP="00C44C4B">
      <w:pPr>
        <w:rPr>
          <w:rFonts w:ascii="Arial" w:hAnsi="Arial" w:cs="Arial"/>
        </w:rPr>
      </w:pPr>
      <w:r w:rsidRPr="00903891">
        <w:rPr>
          <w:rFonts w:ascii="Arial" w:hAnsi="Arial" w:cs="Arial"/>
        </w:rPr>
        <w:t xml:space="preserve">Supplement recipients access resources of the Duke Pepper Center at no additional costs.  </w:t>
      </w:r>
    </w:p>
    <w:p w14:paraId="1D0D0AC7" w14:textId="77777777" w:rsidR="00C44C4B" w:rsidRPr="00903891" w:rsidRDefault="00C44C4B" w:rsidP="00C44C4B">
      <w:pPr>
        <w:pStyle w:val="xmsolistparagraph"/>
        <w:spacing w:before="0" w:beforeAutospacing="0" w:after="120" w:afterAutospacing="0"/>
        <w:ind w:left="360"/>
        <w:rPr>
          <w:rFonts w:ascii="Arial" w:hAnsi="Arial" w:cs="Arial"/>
          <w:color w:val="000000" w:themeColor="text1"/>
        </w:rPr>
      </w:pPr>
      <w:r w:rsidRPr="00C44C4B">
        <w:rPr>
          <w:rFonts w:ascii="Arial" w:hAnsi="Arial" w:cs="Arial"/>
          <w:b/>
          <w:u w:val="single"/>
        </w:rPr>
        <w:t>For post-doctoral fellows</w:t>
      </w:r>
      <w:r w:rsidRPr="00903891">
        <w:rPr>
          <w:rFonts w:ascii="Arial" w:hAnsi="Arial" w:cs="Arial"/>
        </w:rPr>
        <w:t xml:space="preserve">: </w:t>
      </w:r>
      <w:r w:rsidRPr="00903891">
        <w:rPr>
          <w:rFonts w:ascii="Arial" w:hAnsi="Arial" w:cs="Arial"/>
          <w:color w:val="000000" w:themeColor="text1"/>
        </w:rPr>
        <w:t>The NIH will provide support for salary and fringe benefits to enable the candidate to participate as a postdoctoral research associate on the funded research project. The requested annual salary must be in accordance with the salary structure of the grantee institution, consistent with the level of effort needed to complete the project.  In addition, postdocs may receive up to $6,000 per year for supplies and travel.</w:t>
      </w:r>
    </w:p>
    <w:p w14:paraId="18633E40" w14:textId="77777777" w:rsidR="00C44C4B" w:rsidRPr="00903891" w:rsidRDefault="00C44C4B" w:rsidP="00C44C4B">
      <w:pPr>
        <w:pStyle w:val="xmsolistparagraph"/>
        <w:spacing w:before="0" w:beforeAutospacing="0" w:after="120" w:afterAutospacing="0"/>
        <w:ind w:left="360"/>
        <w:rPr>
          <w:rFonts w:ascii="Arial" w:hAnsi="Arial" w:cs="Arial"/>
          <w:color w:val="000000" w:themeColor="text1"/>
        </w:rPr>
      </w:pPr>
      <w:r w:rsidRPr="00C44C4B">
        <w:rPr>
          <w:rFonts w:ascii="Arial" w:hAnsi="Arial" w:cs="Arial"/>
          <w:b/>
          <w:u w:val="single"/>
        </w:rPr>
        <w:t>For faculty</w:t>
      </w:r>
      <w:r w:rsidRPr="00903891">
        <w:rPr>
          <w:rFonts w:ascii="Arial" w:hAnsi="Arial" w:cs="Arial"/>
        </w:rPr>
        <w:t xml:space="preserve">: </w:t>
      </w:r>
      <w:r w:rsidRPr="00903891">
        <w:rPr>
          <w:rFonts w:ascii="Arial" w:hAnsi="Arial" w:cs="Arial"/>
          <w:color w:val="000000" w:themeColor="text1"/>
        </w:rPr>
        <w:t xml:space="preserve">The requested salary and fringe benefits for an investigator should be consistent with the level of support provided by NIH Career Development Awards, and be consistent with the salary structure of the grantee institution. Effort devoted to the project is expected to be 75% (9 calendar months).  Salary is capped by NIH at $75,000 plus fringe benefits. Additional funds of up to $10,000 per year may be requested for supplies and travel for the candidate. </w:t>
      </w:r>
    </w:p>
    <w:p w14:paraId="7BBC6418" w14:textId="3257DB71" w:rsidR="00C44C4B" w:rsidRPr="00C44C4B" w:rsidRDefault="00C44C4B" w:rsidP="00C44C4B">
      <w:pPr>
        <w:spacing w:line="240" w:lineRule="auto"/>
        <w:ind w:left="360"/>
        <w:rPr>
          <w:rFonts w:ascii="Arial" w:hAnsi="Arial" w:cs="Arial"/>
          <w:b/>
          <w:u w:val="single"/>
          <w:shd w:val="clear" w:color="auto" w:fill="FFFFFF"/>
        </w:rPr>
      </w:pPr>
      <w:r w:rsidRPr="00C44C4B">
        <w:rPr>
          <w:rFonts w:ascii="Arial" w:hAnsi="Arial" w:cs="Arial"/>
          <w:b/>
          <w:u w:val="single"/>
        </w:rPr>
        <w:t>Mentorship</w:t>
      </w:r>
      <w:r w:rsidRPr="00903891">
        <w:rPr>
          <w:rFonts w:ascii="Arial" w:hAnsi="Arial" w:cs="Arial"/>
        </w:rPr>
        <w:t>:  Although the application will be submitted by the OAIC principal investigator, applicants may choose any primary mentor and co-mentors.  Applicants are encouraged to include OAIC investigators on the mentorship team.</w:t>
      </w:r>
    </w:p>
    <w:p w14:paraId="279D4E5B" w14:textId="58D3BDEB" w:rsidR="00D832BC" w:rsidRPr="006A3616" w:rsidRDefault="00D832BC" w:rsidP="006A3616">
      <w:pPr>
        <w:spacing w:line="240" w:lineRule="auto"/>
        <w:rPr>
          <w:rFonts w:ascii="Arial" w:hAnsi="Arial" w:cs="Arial"/>
          <w:b/>
          <w:u w:val="single"/>
        </w:rPr>
      </w:pPr>
    </w:p>
    <w:p w14:paraId="7EF27726" w14:textId="7C8FFAA7" w:rsidR="00D832BC" w:rsidRPr="006A3616" w:rsidRDefault="00D832BC" w:rsidP="006A3616">
      <w:pPr>
        <w:spacing w:line="240" w:lineRule="auto"/>
        <w:rPr>
          <w:rFonts w:ascii="Arial" w:hAnsi="Arial" w:cs="Arial"/>
          <w:b/>
        </w:rPr>
      </w:pPr>
      <w:r w:rsidRPr="006A3616">
        <w:rPr>
          <w:rFonts w:ascii="Arial" w:hAnsi="Arial" w:cs="Arial"/>
          <w:b/>
          <w:u w:val="single"/>
        </w:rPr>
        <w:t xml:space="preserve">Duration </w:t>
      </w:r>
      <w:r w:rsidR="00C44C4B">
        <w:rPr>
          <w:rFonts w:ascii="Arial" w:hAnsi="Arial" w:cs="Arial"/>
          <w:b/>
          <w:u w:val="single"/>
        </w:rPr>
        <w:t>of Award:</w:t>
      </w:r>
      <w:r w:rsidRPr="006A3616">
        <w:rPr>
          <w:rFonts w:ascii="Arial" w:hAnsi="Arial" w:cs="Arial"/>
          <w:b/>
        </w:rPr>
        <w:t xml:space="preserve">  </w:t>
      </w:r>
    </w:p>
    <w:p w14:paraId="599B544E" w14:textId="1D404235" w:rsidR="00D832BC" w:rsidRDefault="00C44C4B" w:rsidP="006A3616">
      <w:pPr>
        <w:spacing w:line="240" w:lineRule="auto"/>
        <w:rPr>
          <w:rFonts w:ascii="Arial" w:hAnsi="Arial" w:cs="Arial"/>
        </w:rPr>
      </w:pPr>
      <w:r w:rsidRPr="00903891">
        <w:rPr>
          <w:rFonts w:ascii="Arial" w:hAnsi="Arial" w:cs="Arial"/>
        </w:rPr>
        <w:t>The expected duration of the supplement is two years</w:t>
      </w:r>
      <w:r>
        <w:rPr>
          <w:rFonts w:ascii="Arial" w:hAnsi="Arial" w:cs="Arial"/>
        </w:rPr>
        <w:t>.</w:t>
      </w:r>
    </w:p>
    <w:p w14:paraId="4538AE2A" w14:textId="77777777" w:rsidR="00C44C4B" w:rsidRPr="006A3616" w:rsidRDefault="00C44C4B" w:rsidP="006A3616">
      <w:pPr>
        <w:spacing w:line="240" w:lineRule="auto"/>
        <w:rPr>
          <w:rFonts w:ascii="Arial" w:hAnsi="Arial" w:cs="Arial"/>
        </w:rPr>
      </w:pPr>
    </w:p>
    <w:p w14:paraId="62DEB9D1" w14:textId="6305F086" w:rsidR="00D832BC" w:rsidRPr="006A3616" w:rsidRDefault="00C44C4B" w:rsidP="006A3616">
      <w:pPr>
        <w:spacing w:line="240" w:lineRule="auto"/>
        <w:rPr>
          <w:rFonts w:ascii="Arial" w:hAnsi="Arial" w:cs="Arial"/>
          <w:b/>
          <w:u w:val="single"/>
        </w:rPr>
      </w:pPr>
      <w:r>
        <w:rPr>
          <w:rFonts w:ascii="Arial" w:hAnsi="Arial" w:cs="Arial"/>
          <w:b/>
          <w:u w:val="single"/>
        </w:rPr>
        <w:t>How to Apply:</w:t>
      </w:r>
    </w:p>
    <w:p w14:paraId="4AE657B8" w14:textId="6E459DF7" w:rsidR="00C44C4B" w:rsidRPr="00903891" w:rsidRDefault="00C44C4B" w:rsidP="00C83ED3">
      <w:pPr>
        <w:pStyle w:val="NormalWeb"/>
        <w:spacing w:after="0" w:afterAutospacing="0"/>
        <w:rPr>
          <w:rFonts w:ascii="Arial" w:hAnsi="Arial" w:cs="Arial"/>
          <w:color w:val="000000"/>
        </w:rPr>
      </w:pPr>
      <w:r w:rsidRPr="00903891">
        <w:rPr>
          <w:rFonts w:ascii="Arial" w:hAnsi="Arial" w:cs="Arial"/>
          <w:color w:val="000000"/>
        </w:rPr>
        <w:t xml:space="preserve">Letter of Interest (LOI) and Principal Investigator NIH </w:t>
      </w:r>
      <w:proofErr w:type="spellStart"/>
      <w:r w:rsidRPr="00903891">
        <w:rPr>
          <w:rFonts w:ascii="Arial" w:hAnsi="Arial" w:cs="Arial"/>
          <w:color w:val="000000"/>
        </w:rPr>
        <w:t>Biosketch</w:t>
      </w:r>
      <w:proofErr w:type="spellEnd"/>
      <w:r w:rsidRPr="00903891">
        <w:rPr>
          <w:rFonts w:ascii="Arial" w:hAnsi="Arial" w:cs="Arial"/>
          <w:color w:val="000000"/>
        </w:rPr>
        <w:t xml:space="preserve"> due </w:t>
      </w:r>
      <w:r w:rsidR="00C83ED3">
        <w:rPr>
          <w:rFonts w:ascii="Arial" w:hAnsi="Arial" w:cs="Arial"/>
          <w:color w:val="000000"/>
        </w:rPr>
        <w:t>April 4</w:t>
      </w:r>
      <w:r w:rsidRPr="00903891">
        <w:rPr>
          <w:rFonts w:ascii="Arial" w:hAnsi="Arial" w:cs="Arial"/>
          <w:color w:val="000000"/>
        </w:rPr>
        <w:t>, 202</w:t>
      </w:r>
      <w:r w:rsidR="00C83ED3">
        <w:rPr>
          <w:rFonts w:ascii="Arial" w:hAnsi="Arial" w:cs="Arial"/>
          <w:color w:val="000000"/>
        </w:rPr>
        <w:t>2</w:t>
      </w:r>
      <w:r w:rsidRPr="00903891">
        <w:rPr>
          <w:rFonts w:ascii="Arial" w:hAnsi="Arial" w:cs="Arial"/>
          <w:color w:val="000000"/>
        </w:rPr>
        <w:t>.</w:t>
      </w:r>
      <w:r w:rsidR="00C83ED3">
        <w:rPr>
          <w:rFonts w:ascii="Arial" w:hAnsi="Arial" w:cs="Arial"/>
          <w:color w:val="000000"/>
        </w:rPr>
        <w:t xml:space="preserve"> </w:t>
      </w:r>
      <w:r w:rsidRPr="00903891">
        <w:rPr>
          <w:rFonts w:ascii="Arial" w:hAnsi="Arial" w:cs="Arial"/>
          <w:color w:val="000000"/>
        </w:rPr>
        <w:t xml:space="preserve">Include the overall goals of the project with a focus on how it relates to the Duke Pepper Center theme and how the supplement will contribute to applicant’s research career development.  </w:t>
      </w:r>
    </w:p>
    <w:p w14:paraId="01C012DA" w14:textId="77777777" w:rsidR="00C44C4B" w:rsidRPr="00903891" w:rsidRDefault="00C44C4B" w:rsidP="00C44C4B">
      <w:pPr>
        <w:pStyle w:val="NormalWeb"/>
        <w:rPr>
          <w:rFonts w:ascii="Arial" w:hAnsi="Arial" w:cs="Arial"/>
          <w:color w:val="000000"/>
        </w:rPr>
      </w:pPr>
      <w:r w:rsidRPr="00903891">
        <w:rPr>
          <w:rFonts w:ascii="Arial" w:hAnsi="Arial" w:cs="Arial"/>
          <w:color w:val="000000"/>
        </w:rPr>
        <w:t xml:space="preserve">We will work with investigator and mentor to develop a timeline for submission of full application to NIA.  Applications are reviewed on rolling basis.  For additional information about full application requirements:  </w:t>
      </w:r>
      <w:hyperlink r:id="rId10" w:history="1">
        <w:r w:rsidRPr="00903891">
          <w:rPr>
            <w:rStyle w:val="Hyperlink"/>
            <w:rFonts w:ascii="Arial" w:hAnsi="Arial" w:cs="Arial"/>
          </w:rPr>
          <w:t>https://www.nia.nih.gov/research/diversity-supplements</w:t>
        </w:r>
      </w:hyperlink>
    </w:p>
    <w:p w14:paraId="7FBE7E1A" w14:textId="409FE2FA" w:rsidR="00C44C4B" w:rsidRPr="006A3616" w:rsidRDefault="00C44C4B" w:rsidP="00C44C4B">
      <w:pPr>
        <w:spacing w:line="240" w:lineRule="auto"/>
        <w:rPr>
          <w:rFonts w:ascii="Arial" w:hAnsi="Arial" w:cs="Arial"/>
        </w:rPr>
      </w:pPr>
      <w:r w:rsidRPr="00903891">
        <w:rPr>
          <w:rFonts w:ascii="Arial" w:hAnsi="Arial" w:cs="Arial"/>
          <w:b/>
          <w:bCs/>
          <w:color w:val="000000"/>
        </w:rPr>
        <w:t xml:space="preserve">Please send materials and direct any questions to Cathleen Colón-Emeric, MD, MHS, 919 660-7517, </w:t>
      </w:r>
      <w:hyperlink r:id="rId11" w:history="1">
        <w:r w:rsidRPr="00903891">
          <w:rPr>
            <w:rStyle w:val="Hyperlink"/>
            <w:rFonts w:ascii="Arial" w:hAnsi="Arial" w:cs="Arial"/>
            <w:b/>
            <w:bCs/>
          </w:rPr>
          <w:t>colon001@mc.duke.edu</w:t>
        </w:r>
      </w:hyperlink>
    </w:p>
    <w:sectPr w:rsidR="00C44C4B" w:rsidRPr="006A3616" w:rsidSect="00ED11F3">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0E00" w14:textId="77777777" w:rsidR="00FC504F" w:rsidRDefault="00FC504F" w:rsidP="00E47AB2">
      <w:pPr>
        <w:spacing w:after="0" w:line="240" w:lineRule="auto"/>
      </w:pPr>
      <w:r>
        <w:separator/>
      </w:r>
    </w:p>
  </w:endnote>
  <w:endnote w:type="continuationSeparator" w:id="0">
    <w:p w14:paraId="0222A817" w14:textId="77777777" w:rsidR="00FC504F" w:rsidRDefault="00FC504F" w:rsidP="00E4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5246" w14:textId="77777777" w:rsidR="00FC504F" w:rsidRDefault="00FC504F" w:rsidP="00E47AB2">
      <w:pPr>
        <w:spacing w:after="0" w:line="240" w:lineRule="auto"/>
      </w:pPr>
      <w:r>
        <w:separator/>
      </w:r>
    </w:p>
  </w:footnote>
  <w:footnote w:type="continuationSeparator" w:id="0">
    <w:p w14:paraId="08B8A328" w14:textId="77777777" w:rsidR="00FC504F" w:rsidRDefault="00FC504F" w:rsidP="00E4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2F12" w14:textId="77777777" w:rsidR="00E47AB2" w:rsidRDefault="00E47AB2" w:rsidP="00E47AB2">
    <w:pPr>
      <w:pStyle w:val="Header"/>
    </w:pPr>
  </w:p>
  <w:p w14:paraId="6D77AF09" w14:textId="77777777" w:rsidR="00E47AB2" w:rsidRDefault="00E47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1D05" w14:textId="6B520214" w:rsidR="00D832BC" w:rsidRDefault="00D832BC">
    <w:pPr>
      <w:pStyle w:val="Header"/>
    </w:pPr>
    <w:r>
      <w:rPr>
        <w:noProof/>
      </w:rPr>
      <w:drawing>
        <wp:inline distT="0" distB="0" distL="0" distR="0" wp14:anchorId="0183FEF7" wp14:editId="2A598E17">
          <wp:extent cx="59340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1F7"/>
    <w:multiLevelType w:val="hybridMultilevel"/>
    <w:tmpl w:val="DC624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D7"/>
    <w:multiLevelType w:val="hybridMultilevel"/>
    <w:tmpl w:val="EC88D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E43BA"/>
    <w:multiLevelType w:val="hybridMultilevel"/>
    <w:tmpl w:val="E63E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64D28"/>
    <w:multiLevelType w:val="hybridMultilevel"/>
    <w:tmpl w:val="8F90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B47BD"/>
    <w:multiLevelType w:val="hybridMultilevel"/>
    <w:tmpl w:val="E5D4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B1F0B"/>
    <w:multiLevelType w:val="hybridMultilevel"/>
    <w:tmpl w:val="59DE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A1003"/>
    <w:multiLevelType w:val="hybridMultilevel"/>
    <w:tmpl w:val="DD4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058A5"/>
    <w:multiLevelType w:val="hybridMultilevel"/>
    <w:tmpl w:val="D570AFC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2A3871"/>
    <w:multiLevelType w:val="hybridMultilevel"/>
    <w:tmpl w:val="30E640BA"/>
    <w:lvl w:ilvl="0" w:tplc="6088B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91540"/>
    <w:multiLevelType w:val="hybridMultilevel"/>
    <w:tmpl w:val="CA72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E33A0"/>
    <w:multiLevelType w:val="hybridMultilevel"/>
    <w:tmpl w:val="7E9231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7"/>
  </w:num>
  <w:num w:numId="5">
    <w:abstractNumId w:val="3"/>
  </w:num>
  <w:num w:numId="6">
    <w:abstractNumId w:val="0"/>
  </w:num>
  <w:num w:numId="7">
    <w:abstractNumId w:val="2"/>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AB2"/>
    <w:rsid w:val="0005765A"/>
    <w:rsid w:val="00215389"/>
    <w:rsid w:val="002B1BE1"/>
    <w:rsid w:val="0031662F"/>
    <w:rsid w:val="0045181B"/>
    <w:rsid w:val="004671C8"/>
    <w:rsid w:val="005F1738"/>
    <w:rsid w:val="00646F7E"/>
    <w:rsid w:val="006725CD"/>
    <w:rsid w:val="006A3616"/>
    <w:rsid w:val="00717354"/>
    <w:rsid w:val="008D42D9"/>
    <w:rsid w:val="00900FEB"/>
    <w:rsid w:val="00916BD5"/>
    <w:rsid w:val="0093785D"/>
    <w:rsid w:val="00A46DCC"/>
    <w:rsid w:val="00C44C4B"/>
    <w:rsid w:val="00C83ED3"/>
    <w:rsid w:val="00D832BC"/>
    <w:rsid w:val="00E47AB2"/>
    <w:rsid w:val="00E8164E"/>
    <w:rsid w:val="00EC662E"/>
    <w:rsid w:val="00ED11F3"/>
    <w:rsid w:val="00F05F3C"/>
    <w:rsid w:val="00F31605"/>
    <w:rsid w:val="00F875BA"/>
    <w:rsid w:val="00FC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F0ADE"/>
  <w15:chartTrackingRefBased/>
  <w15:docId w15:val="{F676BF39-C16E-4522-B2FB-E0C09E8D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AB2"/>
  </w:style>
  <w:style w:type="paragraph" w:styleId="Footer">
    <w:name w:val="footer"/>
    <w:basedOn w:val="Normal"/>
    <w:link w:val="FooterChar"/>
    <w:uiPriority w:val="99"/>
    <w:unhideWhenUsed/>
    <w:rsid w:val="00E4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AB2"/>
  </w:style>
  <w:style w:type="paragraph" w:styleId="ListParagraph">
    <w:name w:val="List Paragraph"/>
    <w:basedOn w:val="Normal"/>
    <w:uiPriority w:val="34"/>
    <w:qFormat/>
    <w:rsid w:val="00E47AB2"/>
    <w:pPr>
      <w:ind w:left="720"/>
      <w:contextualSpacing/>
    </w:pPr>
  </w:style>
  <w:style w:type="character" w:styleId="CommentReference">
    <w:name w:val="annotation reference"/>
    <w:basedOn w:val="DefaultParagraphFont"/>
    <w:uiPriority w:val="99"/>
    <w:semiHidden/>
    <w:unhideWhenUsed/>
    <w:rsid w:val="0005765A"/>
    <w:rPr>
      <w:sz w:val="16"/>
      <w:szCs w:val="16"/>
    </w:rPr>
  </w:style>
  <w:style w:type="paragraph" w:styleId="CommentText">
    <w:name w:val="annotation text"/>
    <w:basedOn w:val="Normal"/>
    <w:link w:val="CommentTextChar"/>
    <w:uiPriority w:val="99"/>
    <w:semiHidden/>
    <w:unhideWhenUsed/>
    <w:rsid w:val="0005765A"/>
    <w:pPr>
      <w:spacing w:line="240" w:lineRule="auto"/>
    </w:pPr>
    <w:rPr>
      <w:sz w:val="20"/>
      <w:szCs w:val="20"/>
    </w:rPr>
  </w:style>
  <w:style w:type="character" w:customStyle="1" w:styleId="CommentTextChar">
    <w:name w:val="Comment Text Char"/>
    <w:basedOn w:val="DefaultParagraphFont"/>
    <w:link w:val="CommentText"/>
    <w:uiPriority w:val="99"/>
    <w:semiHidden/>
    <w:rsid w:val="0005765A"/>
    <w:rPr>
      <w:sz w:val="20"/>
      <w:szCs w:val="20"/>
    </w:rPr>
  </w:style>
  <w:style w:type="paragraph" w:styleId="CommentSubject">
    <w:name w:val="annotation subject"/>
    <w:basedOn w:val="CommentText"/>
    <w:next w:val="CommentText"/>
    <w:link w:val="CommentSubjectChar"/>
    <w:uiPriority w:val="99"/>
    <w:semiHidden/>
    <w:unhideWhenUsed/>
    <w:rsid w:val="0005765A"/>
    <w:rPr>
      <w:b/>
      <w:bCs/>
    </w:rPr>
  </w:style>
  <w:style w:type="character" w:customStyle="1" w:styleId="CommentSubjectChar">
    <w:name w:val="Comment Subject Char"/>
    <w:basedOn w:val="CommentTextChar"/>
    <w:link w:val="CommentSubject"/>
    <w:uiPriority w:val="99"/>
    <w:semiHidden/>
    <w:rsid w:val="0005765A"/>
    <w:rPr>
      <w:b/>
      <w:bCs/>
      <w:sz w:val="20"/>
      <w:szCs w:val="20"/>
    </w:rPr>
  </w:style>
  <w:style w:type="paragraph" w:styleId="BalloonText">
    <w:name w:val="Balloon Text"/>
    <w:basedOn w:val="Normal"/>
    <w:link w:val="BalloonTextChar"/>
    <w:uiPriority w:val="99"/>
    <w:semiHidden/>
    <w:unhideWhenUsed/>
    <w:rsid w:val="0005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65A"/>
    <w:rPr>
      <w:rFonts w:ascii="Segoe UI" w:hAnsi="Segoe UI" w:cs="Segoe UI"/>
      <w:sz w:val="18"/>
      <w:szCs w:val="18"/>
    </w:rPr>
  </w:style>
  <w:style w:type="character" w:styleId="Hyperlink">
    <w:name w:val="Hyperlink"/>
    <w:rsid w:val="00D832BC"/>
    <w:rPr>
      <w:color w:val="0000FF"/>
      <w:u w:val="single"/>
    </w:rPr>
  </w:style>
  <w:style w:type="paragraph" w:customStyle="1" w:styleId="xmsolistparagraph">
    <w:name w:val="x_msolistparagraph"/>
    <w:basedOn w:val="Normal"/>
    <w:rsid w:val="00C44C4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C44C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00010">
      <w:bodyDiv w:val="1"/>
      <w:marLeft w:val="0"/>
      <w:marRight w:val="0"/>
      <w:marTop w:val="0"/>
      <w:marBottom w:val="0"/>
      <w:divBdr>
        <w:top w:val="none" w:sz="0" w:space="0" w:color="auto"/>
        <w:left w:val="none" w:sz="0" w:space="0" w:color="auto"/>
        <w:bottom w:val="none" w:sz="0" w:space="0" w:color="auto"/>
        <w:right w:val="none" w:sz="0" w:space="0" w:color="auto"/>
      </w:divBdr>
      <w:divsChild>
        <w:div w:id="1235043633">
          <w:marLeft w:val="0"/>
          <w:marRight w:val="0"/>
          <w:marTop w:val="0"/>
          <w:marBottom w:val="0"/>
          <w:divBdr>
            <w:top w:val="none" w:sz="0" w:space="0" w:color="auto"/>
            <w:left w:val="none" w:sz="0" w:space="0" w:color="auto"/>
            <w:bottom w:val="none" w:sz="0" w:space="0" w:color="auto"/>
            <w:right w:val="none" w:sz="0" w:space="0" w:color="auto"/>
          </w:divBdr>
          <w:divsChild>
            <w:div w:id="503977100">
              <w:marLeft w:val="0"/>
              <w:marRight w:val="0"/>
              <w:marTop w:val="0"/>
              <w:marBottom w:val="0"/>
              <w:divBdr>
                <w:top w:val="none" w:sz="0" w:space="0" w:color="auto"/>
                <w:left w:val="none" w:sz="0" w:space="0" w:color="auto"/>
                <w:bottom w:val="none" w:sz="0" w:space="0" w:color="auto"/>
                <w:right w:val="none" w:sz="0" w:space="0" w:color="auto"/>
              </w:divBdr>
            </w:div>
          </w:divsChild>
        </w:div>
        <w:div w:id="1107385535">
          <w:marLeft w:val="0"/>
          <w:marRight w:val="0"/>
          <w:marTop w:val="0"/>
          <w:marBottom w:val="0"/>
          <w:divBdr>
            <w:top w:val="none" w:sz="0" w:space="0" w:color="auto"/>
            <w:left w:val="none" w:sz="0" w:space="0" w:color="auto"/>
            <w:bottom w:val="none" w:sz="0" w:space="0" w:color="auto"/>
            <w:right w:val="none" w:sz="0" w:space="0" w:color="auto"/>
          </w:divBdr>
          <w:divsChild>
            <w:div w:id="2968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pubs2018/2018009.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on001@mc.duk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a.nih.gov/research/diversity-suppleme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12A9-E8B0-4FBF-A74E-83B9B732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title] [Document title] [Document ti</vt:lpstr>
    </vt:vector>
  </TitlesOfParts>
  <Company>Duke Health</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[Document title] [Document ti</dc:title>
  <dc:subject/>
  <dc:creator>Todd Lewis</dc:creator>
  <cp:keywords/>
  <dc:description/>
  <cp:lastModifiedBy>Matthew Ray</cp:lastModifiedBy>
  <cp:revision>3</cp:revision>
  <dcterms:created xsi:type="dcterms:W3CDTF">2022-02-18T21:21:00Z</dcterms:created>
  <dcterms:modified xsi:type="dcterms:W3CDTF">2022-02-18T21:27:00Z</dcterms:modified>
</cp:coreProperties>
</file>