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571DF" w14:textId="3AE21143" w:rsidR="005A143C" w:rsidRDefault="00725562" w:rsidP="00E41FCF">
      <w:pPr>
        <w:spacing w:before="60" w:after="0"/>
      </w:pPr>
      <w:r>
        <w:t xml:space="preserve">The Inclusion of </w:t>
      </w:r>
      <w:r w:rsidR="00455ABB" w:rsidRPr="00A217A6">
        <w:t xml:space="preserve">Special Populations </w:t>
      </w:r>
      <w:r>
        <w:t xml:space="preserve">(ISP) </w:t>
      </w:r>
      <w:r w:rsidR="005A143C">
        <w:t xml:space="preserve">in Clinical Research </w:t>
      </w:r>
      <w:r>
        <w:t xml:space="preserve">Dashboard </w:t>
      </w:r>
      <w:r w:rsidR="005A143C">
        <w:t xml:space="preserve">summarizes the </w:t>
      </w:r>
      <w:r w:rsidR="00455ABB" w:rsidRPr="00A217A6">
        <w:t xml:space="preserve">demographic representation </w:t>
      </w:r>
      <w:r>
        <w:t xml:space="preserve">of </w:t>
      </w:r>
      <w:r w:rsidR="00455ABB" w:rsidRPr="00A217A6">
        <w:t>participants in Duke clinical research studies</w:t>
      </w:r>
      <w:r w:rsidR="005A143C">
        <w:t>.</w:t>
      </w:r>
      <w:r w:rsidR="00696F91">
        <w:rPr>
          <w:rStyle w:val="FootnoteReference"/>
        </w:rPr>
        <w:footnoteReference w:id="1"/>
      </w:r>
      <w:r w:rsidR="005A143C">
        <w:t xml:space="preserve"> The aim</w:t>
      </w:r>
      <w:r>
        <w:t xml:space="preserve"> </w:t>
      </w:r>
      <w:r w:rsidR="005A143C">
        <w:t xml:space="preserve">is </w:t>
      </w:r>
      <w:r>
        <w:t>to monitor inclusion of special populations from underrepresented groups</w:t>
      </w:r>
      <w:r w:rsidR="005A143C">
        <w:t xml:space="preserve"> toward reducing disparities</w:t>
      </w:r>
      <w:r w:rsidR="00455ABB" w:rsidRPr="00A217A6">
        <w:t xml:space="preserve">. The </w:t>
      </w:r>
      <w:r>
        <w:t xml:space="preserve">ISP Dashboard </w:t>
      </w:r>
      <w:r w:rsidR="00455ABB" w:rsidRPr="00A217A6">
        <w:t xml:space="preserve">presents information from </w:t>
      </w:r>
      <w:r>
        <w:t xml:space="preserve">all </w:t>
      </w:r>
      <w:r w:rsidR="00455ABB" w:rsidRPr="00A217A6">
        <w:t xml:space="preserve">studies </w:t>
      </w:r>
      <w:r>
        <w:t xml:space="preserve">(any accrual status) </w:t>
      </w:r>
      <w:r w:rsidR="00455ABB" w:rsidRPr="00A217A6">
        <w:t>as entered into the Duke clinical research management system (</w:t>
      </w:r>
      <w:proofErr w:type="spellStart"/>
      <w:r w:rsidR="00455ABB" w:rsidRPr="00A217A6">
        <w:t>OnCore</w:t>
      </w:r>
      <w:proofErr w:type="spellEnd"/>
      <w:r w:rsidR="00455ABB" w:rsidRPr="00A217A6">
        <w:t>)</w:t>
      </w:r>
      <w:r w:rsidR="0098624C">
        <w:t>, and makes this information accessible to the public</w:t>
      </w:r>
      <w:r>
        <w:t xml:space="preserve">. </w:t>
      </w:r>
    </w:p>
    <w:p w14:paraId="1BC15BA5" w14:textId="77777777" w:rsidR="00636A25" w:rsidRDefault="00636A25" w:rsidP="004078CC">
      <w:pPr>
        <w:spacing w:before="60" w:after="0"/>
      </w:pPr>
    </w:p>
    <w:p w14:paraId="561F5FEF" w14:textId="1D853EA7" w:rsidR="002F43C4" w:rsidRDefault="00725562" w:rsidP="004078CC">
      <w:pPr>
        <w:spacing w:before="60" w:after="0"/>
      </w:pPr>
      <w:r>
        <w:t xml:space="preserve">The ISP Dashboard is updated periodically (current date is listed on the main ISP Dashboard page) </w:t>
      </w:r>
      <w:r w:rsidR="002F43C4">
        <w:t xml:space="preserve">with a key set of variables of </w:t>
      </w:r>
      <w:r>
        <w:t>interest (</w:t>
      </w:r>
      <w:r w:rsidR="00455ABB" w:rsidRPr="00A217A6">
        <w:t xml:space="preserve">age, </w:t>
      </w:r>
      <w:r w:rsidR="00E41FCF">
        <w:t>sex</w:t>
      </w:r>
      <w:r w:rsidR="00455ABB" w:rsidRPr="00A217A6">
        <w:t>, race, ethnicity, and rurality</w:t>
      </w:r>
      <w:r>
        <w:t>)</w:t>
      </w:r>
      <w:r w:rsidR="00455ABB" w:rsidRPr="00A217A6">
        <w:t xml:space="preserve">. </w:t>
      </w:r>
      <w:r w:rsidR="00B359FE">
        <w:t xml:space="preserve">The ISP Dashboard pulls information that is entered into the clinical research management system (CRMS). Most Duke Health studies are required to enter each participant encounter. </w:t>
      </w:r>
      <w:r w:rsidR="005A143C">
        <w:t xml:space="preserve">Though the information in the ISP Dashboard comes from the same source as </w:t>
      </w:r>
      <w:r w:rsidR="002F43C4">
        <w:t>the DOCR Enrollment Dashboard</w:t>
      </w:r>
      <w:r w:rsidR="005A143C">
        <w:t xml:space="preserve">, </w:t>
      </w:r>
      <w:r w:rsidR="00B359FE">
        <w:t xml:space="preserve">the ISP Dashboard incorporates </w:t>
      </w:r>
      <w:r w:rsidR="002F43C4">
        <w:t xml:space="preserve">a series of Quality Checks to enhance interpretation. These quality checks are outlined below. For further information about this process, please contact </w:t>
      </w:r>
      <w:hyperlink r:id="rId8" w:history="1">
        <w:r w:rsidR="002F43C4" w:rsidRPr="00DB4124">
          <w:rPr>
            <w:rStyle w:val="Hyperlink"/>
          </w:rPr>
          <w:t>SpecialPopulations@dm.duke.edu</w:t>
        </w:r>
      </w:hyperlink>
      <w:r w:rsidR="002F43C4">
        <w:t>.</w:t>
      </w:r>
    </w:p>
    <w:p w14:paraId="6DB9449E" w14:textId="14C0507E" w:rsidR="00176C4D" w:rsidRPr="00A217A6" w:rsidRDefault="00176C4D" w:rsidP="00606A52">
      <w:pPr>
        <w:pStyle w:val="Heading1"/>
        <w:spacing w:before="240"/>
      </w:pPr>
      <w:r w:rsidRPr="00A217A6">
        <w:t>Quality Checks</w:t>
      </w:r>
      <w:r w:rsidR="005A143C">
        <w:t xml:space="preserve"> Overview</w:t>
      </w:r>
      <w:r w:rsidRPr="00A217A6">
        <w:t xml:space="preserve">: </w:t>
      </w:r>
      <w:r w:rsidRPr="00A217A6">
        <w:tab/>
      </w:r>
    </w:p>
    <w:p w14:paraId="4DC142C8" w14:textId="77777777" w:rsidR="00A0183A" w:rsidRDefault="005A143C" w:rsidP="00176C4D">
      <w:pPr>
        <w:pStyle w:val="ListParagraph"/>
        <w:numPr>
          <w:ilvl w:val="0"/>
          <w:numId w:val="1"/>
        </w:numPr>
        <w:spacing w:before="120" w:after="0"/>
      </w:pPr>
      <w:r>
        <w:t xml:space="preserve">The </w:t>
      </w:r>
      <w:r w:rsidR="00A0183A">
        <w:t xml:space="preserve">variables of interest in the ISP Dashboard are extracted from the </w:t>
      </w:r>
      <w:r>
        <w:t xml:space="preserve">source </w:t>
      </w:r>
      <w:r w:rsidR="00A0183A">
        <w:t xml:space="preserve">database, </w:t>
      </w:r>
      <w:r>
        <w:t>Duke’s Clinical Research Management System (</w:t>
      </w:r>
      <w:r w:rsidR="002F43C4">
        <w:t>CRMS</w:t>
      </w:r>
      <w:r>
        <w:t>)</w:t>
      </w:r>
      <w:r w:rsidR="00A0183A">
        <w:t xml:space="preserve">. </w:t>
      </w:r>
    </w:p>
    <w:p w14:paraId="778A4101" w14:textId="4341435B" w:rsidR="00176C4D" w:rsidRPr="00A217A6" w:rsidRDefault="00A0183A" w:rsidP="00176C4D">
      <w:pPr>
        <w:pStyle w:val="ListParagraph"/>
        <w:numPr>
          <w:ilvl w:val="0"/>
          <w:numId w:val="1"/>
        </w:numPr>
        <w:spacing w:before="120" w:after="0"/>
      </w:pPr>
      <w:r>
        <w:t>Data are reviewed</w:t>
      </w:r>
      <w:r w:rsidR="00176C4D" w:rsidRPr="00A217A6">
        <w:t xml:space="preserve"> to ensure there </w:t>
      </w:r>
      <w:r w:rsidR="002F43C4">
        <w:t xml:space="preserve">are </w:t>
      </w:r>
      <w:r w:rsidR="00176C4D" w:rsidRPr="00A217A6">
        <w:t>no duplicate data rows</w:t>
      </w:r>
    </w:p>
    <w:p w14:paraId="17701D39" w14:textId="3A7EC07A" w:rsidR="002F76D2" w:rsidRPr="00A217A6" w:rsidRDefault="002F76D2" w:rsidP="00001D69">
      <w:pPr>
        <w:pStyle w:val="ListParagraph"/>
        <w:numPr>
          <w:ilvl w:val="0"/>
          <w:numId w:val="1"/>
        </w:numPr>
        <w:spacing w:before="120" w:after="0"/>
      </w:pPr>
      <w:r w:rsidRPr="00A217A6">
        <w:t xml:space="preserve">Data variables in the extract </w:t>
      </w:r>
      <w:r w:rsidR="002F43C4">
        <w:t xml:space="preserve">are </w:t>
      </w:r>
      <w:r w:rsidRPr="00A217A6">
        <w:t>then examined to:</w:t>
      </w:r>
    </w:p>
    <w:p w14:paraId="5B25E47B" w14:textId="17EE7DED" w:rsidR="002F76D2" w:rsidRPr="00A217A6" w:rsidRDefault="002F76D2" w:rsidP="002F76D2">
      <w:pPr>
        <w:pStyle w:val="ListParagraph"/>
        <w:numPr>
          <w:ilvl w:val="1"/>
          <w:numId w:val="1"/>
        </w:numPr>
        <w:spacing w:before="120" w:after="0"/>
      </w:pPr>
      <w:r w:rsidRPr="00A217A6">
        <w:t>Count distinct values</w:t>
      </w:r>
    </w:p>
    <w:p w14:paraId="4AA2AFDE" w14:textId="0DD71397" w:rsidR="002F76D2" w:rsidRPr="00A217A6" w:rsidRDefault="002F76D2" w:rsidP="002F76D2">
      <w:pPr>
        <w:pStyle w:val="ListParagraph"/>
        <w:numPr>
          <w:ilvl w:val="1"/>
          <w:numId w:val="1"/>
        </w:numPr>
        <w:spacing w:before="120" w:after="0"/>
      </w:pPr>
      <w:r w:rsidRPr="00A217A6">
        <w:t>Identify o</w:t>
      </w:r>
      <w:r w:rsidR="00001D69" w:rsidRPr="00A217A6">
        <w:t>utliers</w:t>
      </w:r>
    </w:p>
    <w:p w14:paraId="0F173DA8" w14:textId="04851E16" w:rsidR="002F76D2" w:rsidRPr="00A217A6" w:rsidRDefault="002F76D2" w:rsidP="002F76D2">
      <w:pPr>
        <w:pStyle w:val="ListParagraph"/>
        <w:numPr>
          <w:ilvl w:val="1"/>
          <w:numId w:val="1"/>
        </w:numPr>
        <w:spacing w:before="120" w:after="0"/>
      </w:pPr>
      <w:r w:rsidRPr="00A217A6">
        <w:t xml:space="preserve">Characterize degree of </w:t>
      </w:r>
      <w:r w:rsidR="009D1398" w:rsidRPr="00A217A6">
        <w:t>data missing</w:t>
      </w:r>
      <w:r w:rsidR="00A0183A">
        <w:t xml:space="preserve"> and marked as “unknown”</w:t>
      </w:r>
    </w:p>
    <w:p w14:paraId="47635BC5" w14:textId="1E80744C" w:rsidR="00AE4899" w:rsidRPr="008C5D01" w:rsidRDefault="004078CC" w:rsidP="00606A52">
      <w:pPr>
        <w:pStyle w:val="Heading1"/>
        <w:spacing w:before="240"/>
      </w:pPr>
      <w:r>
        <w:t>Participations vs. Participants</w:t>
      </w:r>
      <w:r w:rsidR="00AE4899" w:rsidRPr="008C5D01">
        <w:t>:</w:t>
      </w:r>
      <w:r w:rsidR="00D934F0" w:rsidRPr="008C5D01">
        <w:t xml:space="preserve"> </w:t>
      </w:r>
      <w:r w:rsidR="00D934F0" w:rsidRPr="008C5D01">
        <w:tab/>
      </w:r>
    </w:p>
    <w:p w14:paraId="348B147D" w14:textId="4EE828FE" w:rsidR="00F62C93" w:rsidRPr="008C5D01" w:rsidRDefault="00696F91" w:rsidP="00696F91">
      <w:pPr>
        <w:pStyle w:val="ListParagraph"/>
        <w:numPr>
          <w:ilvl w:val="0"/>
          <w:numId w:val="7"/>
        </w:numPr>
        <w:spacing w:before="60" w:after="0"/>
      </w:pPr>
      <w:r w:rsidRPr="002220B5">
        <w:rPr>
          <w:b/>
          <w:sz w:val="24"/>
        </w:rPr>
        <w:t>Participations</w:t>
      </w:r>
      <w:r w:rsidRPr="00696F91">
        <w:rPr>
          <w:b/>
        </w:rPr>
        <w:t xml:space="preserve">. </w:t>
      </w:r>
      <w:r w:rsidR="00176C4D" w:rsidRPr="008C5D01">
        <w:t xml:space="preserve">Each data row in the </w:t>
      </w:r>
      <w:proofErr w:type="spellStart"/>
      <w:r w:rsidR="00176C4D" w:rsidRPr="008C5D01">
        <w:t>OnCore</w:t>
      </w:r>
      <w:proofErr w:type="spellEnd"/>
      <w:r w:rsidR="00176C4D" w:rsidRPr="008C5D01">
        <w:t xml:space="preserve"> extract represents one individual participating in a specific Duke Clinical Research Study.  </w:t>
      </w:r>
      <w:r w:rsidR="004A5F3D" w:rsidRPr="008C5D01">
        <w:t>(</w:t>
      </w:r>
      <w:r w:rsidR="004A5F3D" w:rsidRPr="008C5D01">
        <w:rPr>
          <w:noProof/>
        </w:rPr>
        <w:t>Currently excluding Studies involving Summary Accrual.</w:t>
      </w:r>
      <w:r w:rsidR="004A5F3D" w:rsidRPr="008C5D01">
        <w:t>)</w:t>
      </w:r>
    </w:p>
    <w:p w14:paraId="012B57D9" w14:textId="20C53E59" w:rsidR="00F62C93" w:rsidRPr="008C5D01" w:rsidRDefault="00B27DDC" w:rsidP="00F62C93">
      <w:pPr>
        <w:pStyle w:val="ListParagraph"/>
        <w:numPr>
          <w:ilvl w:val="1"/>
          <w:numId w:val="1"/>
        </w:numPr>
        <w:spacing w:before="60" w:after="0"/>
      </w:pPr>
      <w:r w:rsidRPr="008C5D01">
        <w:t>Individual participants can par</w:t>
      </w:r>
      <w:r w:rsidR="00CC6E7B">
        <w:t>ticipate in more than one Study;</w:t>
      </w:r>
      <w:r w:rsidR="00B51194" w:rsidRPr="008C5D01">
        <w:t xml:space="preserve"> </w:t>
      </w:r>
      <w:r w:rsidR="00CC6E7B">
        <w:t xml:space="preserve">‘participations’ counts each of those study enrollments. </w:t>
      </w:r>
    </w:p>
    <w:p w14:paraId="6F92F644" w14:textId="72643095" w:rsidR="00167773" w:rsidRDefault="00CC6E7B" w:rsidP="00F62C93">
      <w:pPr>
        <w:pStyle w:val="ListParagraph"/>
        <w:numPr>
          <w:ilvl w:val="1"/>
          <w:numId w:val="1"/>
        </w:numPr>
        <w:spacing w:before="60" w:after="0"/>
      </w:pPr>
      <w:r>
        <w:t>Participations reflects representation for each protocol, and allows for an individual to have participated in more than one protocol/study.</w:t>
      </w:r>
    </w:p>
    <w:p w14:paraId="08A8B43A" w14:textId="0CB5C306" w:rsidR="00CC6E7B" w:rsidRDefault="00CC6E7B" w:rsidP="00F62C93">
      <w:pPr>
        <w:pStyle w:val="ListParagraph"/>
        <w:numPr>
          <w:ilvl w:val="1"/>
          <w:numId w:val="1"/>
        </w:numPr>
        <w:spacing w:before="60" w:after="0"/>
      </w:pPr>
      <w:r>
        <w:t xml:space="preserve">ISP Dashboard Variables using Participations:  </w:t>
      </w:r>
      <w:hyperlink w:anchor="_Age:" w:history="1">
        <w:r w:rsidRPr="00636A25">
          <w:rPr>
            <w:rStyle w:val="Hyperlink"/>
          </w:rPr>
          <w:t>Age at Accrual</w:t>
        </w:r>
      </w:hyperlink>
      <w:r>
        <w:t>.</w:t>
      </w:r>
    </w:p>
    <w:p w14:paraId="127B5203" w14:textId="748105E6" w:rsidR="000B7BC6" w:rsidRDefault="008C5D01" w:rsidP="009862EE">
      <w:pPr>
        <w:pStyle w:val="ListParagraph"/>
        <w:numPr>
          <w:ilvl w:val="0"/>
          <w:numId w:val="1"/>
        </w:numPr>
        <w:spacing w:before="120" w:after="0"/>
        <w:ind w:left="1170" w:hanging="450"/>
      </w:pPr>
      <w:r w:rsidRPr="002220B5">
        <w:rPr>
          <w:b/>
          <w:sz w:val="24"/>
        </w:rPr>
        <w:t>U</w:t>
      </w:r>
      <w:r w:rsidR="00F62C93" w:rsidRPr="002220B5">
        <w:rPr>
          <w:b/>
          <w:sz w:val="24"/>
        </w:rPr>
        <w:t>nique P</w:t>
      </w:r>
      <w:r w:rsidR="00B27DDC" w:rsidRPr="002220B5">
        <w:rPr>
          <w:b/>
          <w:sz w:val="24"/>
        </w:rPr>
        <w:t>articipants</w:t>
      </w:r>
      <w:r w:rsidR="00167773" w:rsidRPr="002220B5">
        <w:rPr>
          <w:b/>
          <w:sz w:val="24"/>
        </w:rPr>
        <w:t xml:space="preserve"> (Individuals</w:t>
      </w:r>
      <w:r w:rsidR="00696F91" w:rsidRPr="002220B5">
        <w:rPr>
          <w:b/>
          <w:sz w:val="24"/>
        </w:rPr>
        <w:t>).</w:t>
      </w:r>
      <w:r w:rsidR="009862EE" w:rsidRPr="002220B5">
        <w:rPr>
          <w:b/>
          <w:sz w:val="24"/>
        </w:rPr>
        <w:t xml:space="preserve"> </w:t>
      </w:r>
      <w:r w:rsidR="00696F91">
        <w:t>T</w:t>
      </w:r>
      <w:r w:rsidR="00F62C93" w:rsidRPr="008C5D01">
        <w:t xml:space="preserve">he </w:t>
      </w:r>
      <w:r w:rsidR="00696F91">
        <w:t>number of participants is determined using un</w:t>
      </w:r>
      <w:r w:rsidR="000B7BC6">
        <w:t>i</w:t>
      </w:r>
      <w:r w:rsidR="00696F91">
        <w:t xml:space="preserve">que identification </w:t>
      </w:r>
      <w:r w:rsidR="000B7BC6">
        <w:t xml:space="preserve">numbers </w:t>
      </w:r>
      <w:r w:rsidR="00696F91">
        <w:t xml:space="preserve">for individuals determined within </w:t>
      </w:r>
      <w:proofErr w:type="spellStart"/>
      <w:r w:rsidR="00696F91">
        <w:t>OnCore</w:t>
      </w:r>
      <w:proofErr w:type="spellEnd"/>
      <w:r w:rsidR="00696F91">
        <w:t xml:space="preserve"> to be </w:t>
      </w:r>
      <w:r w:rsidR="000B7BC6">
        <w:t xml:space="preserve">a unique individual and non-duplicitous from other participation records. </w:t>
      </w:r>
    </w:p>
    <w:p w14:paraId="68F374BF" w14:textId="1F7CD16F" w:rsidR="00B7115F" w:rsidRPr="008C5D01" w:rsidRDefault="00F62C93" w:rsidP="000B7BC6">
      <w:pPr>
        <w:spacing w:before="120" w:after="0"/>
        <w:ind w:left="720"/>
      </w:pPr>
      <w:r w:rsidRPr="008C5D01">
        <w:t>This</w:t>
      </w:r>
      <w:r w:rsidR="003B6514" w:rsidRPr="008C5D01">
        <w:t xml:space="preserve"> count </w:t>
      </w:r>
      <w:r w:rsidRPr="00CC6E7B">
        <w:rPr>
          <w:b/>
          <w:i/>
        </w:rPr>
        <w:t>approximates</w:t>
      </w:r>
      <w:r w:rsidRPr="008C5D01">
        <w:t xml:space="preserve"> the number of in</w:t>
      </w:r>
      <w:bookmarkStart w:id="0" w:name="_GoBack"/>
      <w:bookmarkEnd w:id="0"/>
      <w:r w:rsidRPr="008C5D01">
        <w:t xml:space="preserve">dividuals, counting them only once, regardless of the number of Duke </w:t>
      </w:r>
      <w:r w:rsidR="00CC6E7B">
        <w:t>c</w:t>
      </w:r>
      <w:r w:rsidRPr="008C5D01">
        <w:t xml:space="preserve">linical </w:t>
      </w:r>
      <w:r w:rsidR="00CC6E7B">
        <w:t>r</w:t>
      </w:r>
      <w:r w:rsidRPr="008C5D01">
        <w:t xml:space="preserve">esearch </w:t>
      </w:r>
      <w:r w:rsidR="00CC6E7B">
        <w:t>s</w:t>
      </w:r>
      <w:r w:rsidRPr="008C5D01">
        <w:t xml:space="preserve">tudies in which </w:t>
      </w:r>
      <w:r w:rsidR="00606A52" w:rsidRPr="008C5D01">
        <w:t>the particular</w:t>
      </w:r>
      <w:r w:rsidRPr="008C5D01">
        <w:t xml:space="preserve"> individual enrolls.</w:t>
      </w:r>
    </w:p>
    <w:p w14:paraId="5E9504FC" w14:textId="60ABC821" w:rsidR="002220B5" w:rsidRDefault="00606A52" w:rsidP="002220B5">
      <w:pPr>
        <w:pStyle w:val="ListParagraph"/>
        <w:numPr>
          <w:ilvl w:val="1"/>
          <w:numId w:val="1"/>
        </w:numPr>
        <w:spacing w:before="60" w:after="0"/>
      </w:pPr>
      <w:r w:rsidRPr="008C5D01">
        <w:t>This</w:t>
      </w:r>
      <w:r w:rsidR="00FB28EC" w:rsidRPr="008C5D01">
        <w:t xml:space="preserve"> count is only approximate because during operational use of </w:t>
      </w:r>
      <w:proofErr w:type="spellStart"/>
      <w:r w:rsidR="00FB28EC" w:rsidRPr="008C5D01">
        <w:t>OnCore</w:t>
      </w:r>
      <w:proofErr w:type="spellEnd"/>
      <w:r w:rsidR="000B7172" w:rsidRPr="008C5D01">
        <w:t>, some</w:t>
      </w:r>
      <w:r w:rsidR="000B7172" w:rsidRPr="00A217A6">
        <w:t xml:space="preserve"> individuals are assigned different </w:t>
      </w:r>
      <w:proofErr w:type="spellStart"/>
      <w:r w:rsidR="000B7172" w:rsidRPr="00A217A6">
        <w:t>OnCore</w:t>
      </w:r>
      <w:proofErr w:type="spellEnd"/>
      <w:r w:rsidR="000B7172" w:rsidRPr="00A217A6">
        <w:t xml:space="preserve"> identifiers over time.  This can lead to an over counting unique participants</w:t>
      </w:r>
    </w:p>
    <w:p w14:paraId="79030C6F" w14:textId="77777777" w:rsidR="002220B5" w:rsidRDefault="002220B5" w:rsidP="0022705C">
      <w:pPr>
        <w:pStyle w:val="ListParagraph"/>
        <w:numPr>
          <w:ilvl w:val="1"/>
          <w:numId w:val="1"/>
        </w:numPr>
        <w:spacing w:before="60" w:after="0"/>
      </w:pPr>
      <w:r>
        <w:t xml:space="preserve">Exclusion of protocols using summary accrual reporting to record enrollment information indicates that </w:t>
      </w:r>
      <w:proofErr w:type="spellStart"/>
      <w:r>
        <w:t>OnCore</w:t>
      </w:r>
      <w:proofErr w:type="spellEnd"/>
      <w:r>
        <w:t xml:space="preserve"> records do not reflect the complete set of Duke clinical research participants. </w:t>
      </w:r>
    </w:p>
    <w:p w14:paraId="098F7168" w14:textId="735AAF46" w:rsidR="00CC6E7B" w:rsidRDefault="00CC6E7B" w:rsidP="0022705C">
      <w:pPr>
        <w:pStyle w:val="ListParagraph"/>
        <w:numPr>
          <w:ilvl w:val="1"/>
          <w:numId w:val="1"/>
        </w:numPr>
        <w:spacing w:before="60" w:after="0"/>
      </w:pPr>
      <w:r>
        <w:t xml:space="preserve">ISP Dashboard Variables using Unique Participants: </w:t>
      </w:r>
      <w:hyperlink w:anchor="_Sex:" w:history="1">
        <w:r w:rsidR="00E41FCF" w:rsidRPr="00636A25">
          <w:rPr>
            <w:rStyle w:val="Hyperlink"/>
          </w:rPr>
          <w:t>Sex</w:t>
        </w:r>
      </w:hyperlink>
      <w:r w:rsidRPr="002220B5">
        <w:rPr>
          <w:u w:val="single"/>
        </w:rPr>
        <w:t xml:space="preserve">, </w:t>
      </w:r>
      <w:hyperlink w:anchor="_Race:" w:history="1">
        <w:r w:rsidRPr="00636A25">
          <w:rPr>
            <w:rStyle w:val="Hyperlink"/>
          </w:rPr>
          <w:t>Race</w:t>
        </w:r>
      </w:hyperlink>
      <w:r w:rsidRPr="002220B5">
        <w:rPr>
          <w:u w:val="single"/>
        </w:rPr>
        <w:t xml:space="preserve">, </w:t>
      </w:r>
      <w:hyperlink w:anchor="_Ethnicity:" w:history="1">
        <w:r w:rsidRPr="00636A25">
          <w:rPr>
            <w:rStyle w:val="Hyperlink"/>
          </w:rPr>
          <w:t>Ethnicity</w:t>
        </w:r>
      </w:hyperlink>
      <w:r w:rsidRPr="002220B5">
        <w:rPr>
          <w:u w:val="single"/>
        </w:rPr>
        <w:t xml:space="preserve">, </w:t>
      </w:r>
      <w:hyperlink w:anchor="_Rurality:" w:history="1">
        <w:r w:rsidRPr="00636A25">
          <w:rPr>
            <w:rStyle w:val="Hyperlink"/>
          </w:rPr>
          <w:t>Rurality</w:t>
        </w:r>
      </w:hyperlink>
    </w:p>
    <w:p w14:paraId="566C7D0C" w14:textId="3AD7D64E" w:rsidR="00380603" w:rsidRDefault="00380603" w:rsidP="001960D9">
      <w:pPr>
        <w:pStyle w:val="Heading1"/>
      </w:pPr>
      <w:bookmarkStart w:id="1" w:name="_Age:"/>
      <w:bookmarkEnd w:id="1"/>
      <w:r>
        <w:lastRenderedPageBreak/>
        <w:t>Age:</w:t>
      </w:r>
    </w:p>
    <w:p w14:paraId="2800A73F" w14:textId="7F5C20AF" w:rsidR="00380603" w:rsidRDefault="00380603" w:rsidP="00380603">
      <w:r w:rsidRPr="009E30E0">
        <w:t xml:space="preserve">We used age of participant at the time of enrollment and accrual into a given study protocol, </w:t>
      </w:r>
      <w:r w:rsidR="00636A25">
        <w:t xml:space="preserve">which was reported as </w:t>
      </w:r>
      <w:r w:rsidRPr="009E30E0">
        <w:t xml:space="preserve">a continuous integer value.  </w:t>
      </w:r>
      <w:r>
        <w:t xml:space="preserve">Outlier values </w:t>
      </w:r>
      <w:r w:rsidRPr="009E30E0">
        <w:t>(i.e., negative values and values over 100 years of age)</w:t>
      </w:r>
      <w:r>
        <w:t xml:space="preserve"> were removed from analysis. </w:t>
      </w:r>
      <w:r w:rsidRPr="009E30E0">
        <w:t xml:space="preserve">We grouped accrual age into categories: ages 65 to 100, ages 27 to 64, ages 18 to 26, ages 5 to 17, under the age of 5, and not reported. </w:t>
      </w:r>
      <w:r>
        <w:t xml:space="preserve">The age variable is based on participations (see above). </w:t>
      </w:r>
    </w:p>
    <w:p w14:paraId="6E1577C3" w14:textId="0A315E19" w:rsidR="000F655C" w:rsidRDefault="000F655C" w:rsidP="001960D9">
      <w:pPr>
        <w:pStyle w:val="Heading1"/>
      </w:pPr>
      <w:bookmarkStart w:id="2" w:name="_Sex:"/>
      <w:bookmarkEnd w:id="2"/>
      <w:r>
        <w:t xml:space="preserve">Sex: </w:t>
      </w:r>
    </w:p>
    <w:p w14:paraId="22F3A466" w14:textId="665613E3" w:rsidR="00636A25" w:rsidRPr="00636A25" w:rsidRDefault="00636A25" w:rsidP="00636A25">
      <w:r w:rsidRPr="009E30E0">
        <w:t xml:space="preserve">Participant biological sex </w:t>
      </w:r>
      <w:r>
        <w:t>has been</w:t>
      </w:r>
      <w:r w:rsidRPr="009E30E0">
        <w:t xml:space="preserve"> indicated in </w:t>
      </w:r>
      <w:proofErr w:type="spellStart"/>
      <w:r w:rsidRPr="009E30E0">
        <w:t>OnCore</w:t>
      </w:r>
      <w:proofErr w:type="spellEnd"/>
      <w:r w:rsidRPr="009E30E0">
        <w:t xml:space="preserve"> as Females, Males, or Unknown.</w:t>
      </w:r>
    </w:p>
    <w:p w14:paraId="030E0B1A" w14:textId="14327093" w:rsidR="000F655C" w:rsidRDefault="000F655C" w:rsidP="001960D9">
      <w:pPr>
        <w:pStyle w:val="Heading1"/>
      </w:pPr>
      <w:bookmarkStart w:id="3" w:name="_Race:"/>
      <w:bookmarkEnd w:id="3"/>
      <w:r>
        <w:t>Race:</w:t>
      </w:r>
    </w:p>
    <w:p w14:paraId="2A5BC644" w14:textId="790B98F9" w:rsidR="000F655C" w:rsidRPr="000F655C" w:rsidRDefault="00380603" w:rsidP="000F655C">
      <w:proofErr w:type="spellStart"/>
      <w:r w:rsidRPr="009E30E0">
        <w:t>OnCore</w:t>
      </w:r>
      <w:proofErr w:type="spellEnd"/>
      <w:r w:rsidRPr="009E30E0">
        <w:t xml:space="preserve"> </w:t>
      </w:r>
      <w:r>
        <w:t xml:space="preserve">has allowed </w:t>
      </w:r>
      <w:r w:rsidRPr="009E30E0">
        <w:t xml:space="preserve">multiple selections of race: 1) American Indian or Alaska Native, 2) Asian, 3) Black or African American, 4) Native Hawaiian or Other Pacific Islander, 5) White, 6) 2 or more races, and 7) Unknown. We created a grouped value “reported two or more” to encompass “2 or more races” and any combination of any two or more of the available seven </w:t>
      </w:r>
      <w:proofErr w:type="spellStart"/>
      <w:r w:rsidRPr="009E30E0">
        <w:t>OnCore</w:t>
      </w:r>
      <w:proofErr w:type="spellEnd"/>
      <w:r w:rsidRPr="009E30E0">
        <w:t xml:space="preserve"> selections. The value “unknown” represented a significant fraction (</w:t>
      </w:r>
      <w:r>
        <w:t>&gt;6</w:t>
      </w:r>
      <w:r w:rsidRPr="009E30E0">
        <w:t>%</w:t>
      </w:r>
      <w:r>
        <w:t xml:space="preserve"> in the initial dashboard in 2021</w:t>
      </w:r>
      <w:r w:rsidRPr="009E30E0">
        <w:t>,)</w:t>
      </w:r>
      <w:r>
        <w:t>.</w:t>
      </w:r>
      <w:r w:rsidRPr="009E30E0">
        <w:t xml:space="preserve"> Race </w:t>
      </w:r>
      <w:r>
        <w:t>was</w:t>
      </w:r>
      <w:r w:rsidRPr="009E30E0">
        <w:t xml:space="preserve"> recorded independently of ethnicity</w:t>
      </w:r>
      <w:r>
        <w:t>.</w:t>
      </w:r>
    </w:p>
    <w:p w14:paraId="16451734" w14:textId="72966D79" w:rsidR="000F655C" w:rsidRDefault="000F655C" w:rsidP="001960D9">
      <w:pPr>
        <w:pStyle w:val="Heading1"/>
      </w:pPr>
      <w:bookmarkStart w:id="4" w:name="_Ethnicity:"/>
      <w:bookmarkEnd w:id="4"/>
      <w:r>
        <w:t>Ethnicity:</w:t>
      </w:r>
    </w:p>
    <w:p w14:paraId="0FF2BF95" w14:textId="7E2B3C31" w:rsidR="00380603" w:rsidRPr="00380603" w:rsidRDefault="00380603" w:rsidP="00380603">
      <w:proofErr w:type="spellStart"/>
      <w:r>
        <w:t>OnCore</w:t>
      </w:r>
      <w:proofErr w:type="spellEnd"/>
      <w:r>
        <w:t xml:space="preserve"> has recorded p</w:t>
      </w:r>
      <w:r w:rsidRPr="009E30E0">
        <w:t xml:space="preserve">articipant ethnicity </w:t>
      </w:r>
      <w:r>
        <w:t xml:space="preserve">independently of race, </w:t>
      </w:r>
      <w:r w:rsidRPr="009E30E0">
        <w:t>as Hispanic, non-Hispanic</w:t>
      </w:r>
      <w:r>
        <w:t>,</w:t>
      </w:r>
      <w:r w:rsidRPr="009E30E0">
        <w:t xml:space="preserve"> or </w:t>
      </w:r>
      <w:r>
        <w:t xml:space="preserve">reported </w:t>
      </w:r>
      <w:r w:rsidRPr="009E30E0">
        <w:t>Unknown</w:t>
      </w:r>
      <w:r>
        <w:t>.</w:t>
      </w:r>
    </w:p>
    <w:p w14:paraId="201B12D9" w14:textId="1DD1D780" w:rsidR="001960D9" w:rsidRPr="008C5D01" w:rsidRDefault="001960D9" w:rsidP="001960D9">
      <w:pPr>
        <w:pStyle w:val="Heading1"/>
      </w:pPr>
      <w:bookmarkStart w:id="5" w:name="_Rurality:"/>
      <w:bookmarkEnd w:id="5"/>
      <w:r w:rsidRPr="008C5D01">
        <w:t>Rurality:</w:t>
      </w:r>
    </w:p>
    <w:p w14:paraId="49AECCB9" w14:textId="77777777" w:rsidR="001960D9" w:rsidRPr="00A217A6" w:rsidRDefault="001960D9" w:rsidP="00380603">
      <w:pPr>
        <w:spacing w:after="0"/>
        <w:rPr>
          <w:b/>
          <w:bCs/>
        </w:rPr>
      </w:pPr>
      <w:r w:rsidRPr="008C5D01">
        <w:t>Rurality was</w:t>
      </w:r>
      <w:r w:rsidRPr="00A217A6">
        <w:t xml:space="preserve"> determined by Rural-Urban Commuting Area (RUCA) codes designated as nonmetropolitan (RUCA code of 4 or above). We used the ZIP Code approximation of the Census tract-based RUCA codes.   For a description, refer to </w:t>
      </w:r>
      <w:hyperlink r:id="rId9" w:history="1">
        <w:r w:rsidRPr="00A217A6">
          <w:rPr>
            <w:rStyle w:val="Hyperlink"/>
          </w:rPr>
          <w:t>https://www.ers.usda.gov/data-products/rural-urban-commuting-area-codes.aspx</w:t>
        </w:r>
      </w:hyperlink>
      <w:r w:rsidRPr="00A217A6">
        <w:t>.</w:t>
      </w:r>
      <w:r w:rsidRPr="00A217A6">
        <w:rPr>
          <w:vertAlign w:val="superscript"/>
        </w:rPr>
        <w:t>2</w:t>
      </w:r>
    </w:p>
    <w:p w14:paraId="3340E8D2" w14:textId="77777777" w:rsidR="00380603" w:rsidRDefault="00380603" w:rsidP="00380603">
      <w:pPr>
        <w:spacing w:after="0"/>
      </w:pPr>
    </w:p>
    <w:p w14:paraId="51F0B065" w14:textId="01B0B512" w:rsidR="001960D9" w:rsidRDefault="001960D9" w:rsidP="00380603">
      <w:pPr>
        <w:spacing w:after="0"/>
      </w:pPr>
      <w:r w:rsidRPr="00A217A6">
        <w:t xml:space="preserve">Zip codes reported in </w:t>
      </w:r>
      <w:proofErr w:type="spellStart"/>
      <w:r w:rsidRPr="00A217A6">
        <w:t>OnCore</w:t>
      </w:r>
      <w:proofErr w:type="spellEnd"/>
      <w:r w:rsidRPr="00A217A6">
        <w:t xml:space="preserve"> were grouped using primary RUCA codes into rural and non-rural participant locations.  More specifically, a primary RUCA code of 1, 2, or 3 was considered non-rural/metro and codes 4 through 10 as rural/non-metro.</w:t>
      </w:r>
    </w:p>
    <w:p w14:paraId="731F20DE" w14:textId="77777777" w:rsidR="00636A25" w:rsidRPr="00A217A6" w:rsidRDefault="00636A25" w:rsidP="00380603">
      <w:pPr>
        <w:spacing w:after="0"/>
      </w:pPr>
    </w:p>
    <w:tbl>
      <w:tblPr>
        <w:tblW w:w="0" w:type="auto"/>
        <w:tblInd w:w="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7364"/>
      </w:tblGrid>
      <w:tr w:rsidR="001960D9" w:rsidRPr="00A217A6" w14:paraId="0AE3AA7D" w14:textId="77777777" w:rsidTr="009653BC">
        <w:trPr>
          <w:trHeight w:val="20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F14B53" w14:textId="77777777" w:rsidR="001960D9" w:rsidRPr="00A217A6" w:rsidRDefault="001960D9" w:rsidP="009653B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18"/>
              </w:rPr>
              <w:t>Primary RUCA codes, 2010</w:t>
            </w:r>
          </w:p>
        </w:tc>
      </w:tr>
      <w:tr w:rsidR="001960D9" w:rsidRPr="00A217A6" w14:paraId="3FCC36FB" w14:textId="77777777" w:rsidTr="009653BC">
        <w:trPr>
          <w:trHeight w:val="144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B0AEAD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03049" w14:textId="77777777" w:rsidR="001960D9" w:rsidRPr="00A217A6" w:rsidRDefault="001960D9" w:rsidP="009653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B0AEAD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9472D" w14:textId="77777777" w:rsidR="001960D9" w:rsidRPr="00A217A6" w:rsidRDefault="001960D9" w:rsidP="009653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Classification description</w:t>
            </w:r>
          </w:p>
        </w:tc>
      </w:tr>
      <w:tr w:rsidR="001960D9" w:rsidRPr="00A217A6" w14:paraId="2957D3E8" w14:textId="77777777" w:rsidTr="009653BC">
        <w:trPr>
          <w:trHeight w:val="1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66066A" w14:textId="77777777" w:rsidR="001960D9" w:rsidRPr="00A217A6" w:rsidRDefault="001960D9" w:rsidP="009653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10D213" w14:textId="77777777" w:rsidR="001960D9" w:rsidRPr="00A217A6" w:rsidRDefault="001960D9" w:rsidP="009653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1B1B1B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1B1B1B"/>
                <w:sz w:val="18"/>
                <w:szCs w:val="18"/>
              </w:rPr>
              <w:t>Metropolitan area core: primary flow within an urbanized area (UA)</w:t>
            </w:r>
          </w:p>
        </w:tc>
      </w:tr>
      <w:tr w:rsidR="001960D9" w:rsidRPr="00A217A6" w14:paraId="157CDCCE" w14:textId="77777777" w:rsidTr="009653BC">
        <w:trPr>
          <w:trHeight w:val="1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693D2E" w14:textId="77777777" w:rsidR="001960D9" w:rsidRPr="00A217A6" w:rsidRDefault="001960D9" w:rsidP="009653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CD5A4" w14:textId="77777777" w:rsidR="001960D9" w:rsidRPr="00A217A6" w:rsidRDefault="001960D9" w:rsidP="009653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1B1B1B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1B1B1B"/>
                <w:sz w:val="18"/>
                <w:szCs w:val="18"/>
              </w:rPr>
              <w:t>Metropolitan area high commuting: primary flow 30% or more to a UA</w:t>
            </w:r>
          </w:p>
        </w:tc>
      </w:tr>
      <w:tr w:rsidR="001960D9" w:rsidRPr="00A217A6" w14:paraId="624E02B2" w14:textId="77777777" w:rsidTr="009653BC">
        <w:trPr>
          <w:trHeight w:val="1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2F97B6" w14:textId="77777777" w:rsidR="001960D9" w:rsidRPr="00A217A6" w:rsidRDefault="001960D9" w:rsidP="009653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C08E5" w14:textId="77777777" w:rsidR="001960D9" w:rsidRPr="00A217A6" w:rsidRDefault="001960D9" w:rsidP="009653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1B1B1B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1B1B1B"/>
                <w:sz w:val="18"/>
                <w:szCs w:val="18"/>
              </w:rPr>
              <w:t>Metropolitan area low commuting: primary flow 10% to 30% to a UA</w:t>
            </w:r>
          </w:p>
        </w:tc>
      </w:tr>
      <w:tr w:rsidR="001960D9" w:rsidRPr="00A217A6" w14:paraId="012D8E8F" w14:textId="77777777" w:rsidTr="009653BC">
        <w:trPr>
          <w:trHeight w:val="1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A47C5" w14:textId="77777777" w:rsidR="001960D9" w:rsidRPr="00A217A6" w:rsidRDefault="001960D9" w:rsidP="009653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3039FE" w14:textId="77777777" w:rsidR="001960D9" w:rsidRPr="00A217A6" w:rsidRDefault="001960D9" w:rsidP="009653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1B1B1B"/>
                <w:sz w:val="18"/>
                <w:szCs w:val="18"/>
              </w:rPr>
            </w:pPr>
            <w:proofErr w:type="spellStart"/>
            <w:r w:rsidRPr="00A217A6">
              <w:rPr>
                <w:rFonts w:ascii="Arial" w:eastAsia="Times New Roman" w:hAnsi="Arial" w:cs="Arial"/>
                <w:color w:val="1B1B1B"/>
                <w:sz w:val="18"/>
                <w:szCs w:val="18"/>
              </w:rPr>
              <w:t>Micropolitan</w:t>
            </w:r>
            <w:proofErr w:type="spellEnd"/>
            <w:r w:rsidRPr="00A217A6">
              <w:rPr>
                <w:rFonts w:ascii="Arial" w:eastAsia="Times New Roman" w:hAnsi="Arial" w:cs="Arial"/>
                <w:color w:val="1B1B1B"/>
                <w:sz w:val="18"/>
                <w:szCs w:val="18"/>
              </w:rPr>
              <w:t xml:space="preserve"> area core: primary flow within an urban cluster of 10,000 to 49,999 (large UC)</w:t>
            </w:r>
          </w:p>
        </w:tc>
      </w:tr>
      <w:tr w:rsidR="001960D9" w:rsidRPr="00A217A6" w14:paraId="2865CDD2" w14:textId="77777777" w:rsidTr="009653BC">
        <w:trPr>
          <w:trHeight w:val="1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2A9CA" w14:textId="77777777" w:rsidR="001960D9" w:rsidRPr="00A217A6" w:rsidRDefault="001960D9" w:rsidP="009653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879D0" w14:textId="77777777" w:rsidR="001960D9" w:rsidRPr="00A217A6" w:rsidRDefault="001960D9" w:rsidP="009653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1B1B1B"/>
                <w:sz w:val="18"/>
                <w:szCs w:val="18"/>
              </w:rPr>
            </w:pPr>
            <w:proofErr w:type="spellStart"/>
            <w:r w:rsidRPr="00A217A6">
              <w:rPr>
                <w:rFonts w:ascii="Arial" w:eastAsia="Times New Roman" w:hAnsi="Arial" w:cs="Arial"/>
                <w:color w:val="1B1B1B"/>
                <w:sz w:val="18"/>
                <w:szCs w:val="18"/>
              </w:rPr>
              <w:t>Micropolitan</w:t>
            </w:r>
            <w:proofErr w:type="spellEnd"/>
            <w:r w:rsidRPr="00A217A6">
              <w:rPr>
                <w:rFonts w:ascii="Arial" w:eastAsia="Times New Roman" w:hAnsi="Arial" w:cs="Arial"/>
                <w:color w:val="1B1B1B"/>
                <w:sz w:val="18"/>
                <w:szCs w:val="18"/>
              </w:rPr>
              <w:t xml:space="preserve"> high commuting: primary flow 30% or more to a large UC</w:t>
            </w:r>
          </w:p>
        </w:tc>
      </w:tr>
      <w:tr w:rsidR="001960D9" w:rsidRPr="00A217A6" w14:paraId="58522EF7" w14:textId="77777777" w:rsidTr="009653BC">
        <w:trPr>
          <w:trHeight w:val="1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5C009" w14:textId="77777777" w:rsidR="001960D9" w:rsidRPr="00A217A6" w:rsidRDefault="001960D9" w:rsidP="009653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F515CC" w14:textId="77777777" w:rsidR="001960D9" w:rsidRPr="00A217A6" w:rsidRDefault="001960D9" w:rsidP="009653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1B1B1B"/>
                <w:sz w:val="18"/>
                <w:szCs w:val="18"/>
              </w:rPr>
            </w:pPr>
            <w:proofErr w:type="spellStart"/>
            <w:r w:rsidRPr="00A217A6">
              <w:rPr>
                <w:rFonts w:ascii="Arial" w:eastAsia="Times New Roman" w:hAnsi="Arial" w:cs="Arial"/>
                <w:color w:val="1B1B1B"/>
                <w:sz w:val="18"/>
                <w:szCs w:val="18"/>
              </w:rPr>
              <w:t>Micropolitan</w:t>
            </w:r>
            <w:proofErr w:type="spellEnd"/>
            <w:r w:rsidRPr="00A217A6">
              <w:rPr>
                <w:rFonts w:ascii="Arial" w:eastAsia="Times New Roman" w:hAnsi="Arial" w:cs="Arial"/>
                <w:color w:val="1B1B1B"/>
                <w:sz w:val="18"/>
                <w:szCs w:val="18"/>
              </w:rPr>
              <w:t xml:space="preserve"> low commuting: primary flow 10% to 30% to a large UC</w:t>
            </w:r>
          </w:p>
        </w:tc>
      </w:tr>
      <w:tr w:rsidR="001960D9" w:rsidRPr="00A217A6" w14:paraId="13849068" w14:textId="77777777" w:rsidTr="009653BC">
        <w:trPr>
          <w:trHeight w:val="1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E09D3C" w14:textId="77777777" w:rsidR="001960D9" w:rsidRPr="00A217A6" w:rsidRDefault="001960D9" w:rsidP="009653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CE907" w14:textId="77777777" w:rsidR="001960D9" w:rsidRPr="00A217A6" w:rsidRDefault="001960D9" w:rsidP="009653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1B1B1B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1B1B1B"/>
                <w:sz w:val="18"/>
                <w:szCs w:val="18"/>
              </w:rPr>
              <w:t>Small town core: primary flow within an urban cluster of 2,500 to 9,999 (small UC)</w:t>
            </w:r>
          </w:p>
        </w:tc>
      </w:tr>
      <w:tr w:rsidR="001960D9" w:rsidRPr="00A217A6" w14:paraId="1B67821A" w14:textId="77777777" w:rsidTr="009653BC">
        <w:trPr>
          <w:trHeight w:val="1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A4979B" w14:textId="77777777" w:rsidR="001960D9" w:rsidRPr="00A217A6" w:rsidRDefault="001960D9" w:rsidP="009653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90D7E" w14:textId="77777777" w:rsidR="001960D9" w:rsidRPr="00A217A6" w:rsidRDefault="001960D9" w:rsidP="009653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1B1B1B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1B1B1B"/>
                <w:sz w:val="18"/>
                <w:szCs w:val="18"/>
              </w:rPr>
              <w:t>Small town high commuting: primary flow 30% or more to a small UC</w:t>
            </w:r>
          </w:p>
        </w:tc>
      </w:tr>
      <w:tr w:rsidR="001960D9" w:rsidRPr="00A217A6" w14:paraId="7D5C8F3C" w14:textId="77777777" w:rsidTr="009653BC">
        <w:trPr>
          <w:trHeight w:val="1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6E56D" w14:textId="77777777" w:rsidR="001960D9" w:rsidRPr="00A217A6" w:rsidRDefault="001960D9" w:rsidP="009653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C7976" w14:textId="77777777" w:rsidR="001960D9" w:rsidRPr="00A217A6" w:rsidRDefault="001960D9" w:rsidP="009653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1B1B1B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1B1B1B"/>
                <w:sz w:val="18"/>
                <w:szCs w:val="18"/>
              </w:rPr>
              <w:t>Small town low commuting: primary flow 10% to 30% to a small UC</w:t>
            </w:r>
          </w:p>
        </w:tc>
      </w:tr>
      <w:tr w:rsidR="001960D9" w:rsidRPr="00A217A6" w14:paraId="27216796" w14:textId="77777777" w:rsidTr="009653BC">
        <w:trPr>
          <w:trHeight w:val="1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EFFC29" w14:textId="77777777" w:rsidR="001960D9" w:rsidRPr="00A217A6" w:rsidRDefault="001960D9" w:rsidP="009653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9AB67" w14:textId="77777777" w:rsidR="001960D9" w:rsidRPr="00A217A6" w:rsidRDefault="001960D9" w:rsidP="009653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1B1B1B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1B1B1B"/>
                <w:sz w:val="18"/>
                <w:szCs w:val="18"/>
              </w:rPr>
              <w:t>Rural areas: primary flow to a tract outside a UA or UC</w:t>
            </w:r>
          </w:p>
        </w:tc>
      </w:tr>
      <w:tr w:rsidR="001960D9" w:rsidRPr="00A217A6" w14:paraId="1BFF0311" w14:textId="77777777" w:rsidTr="009653BC">
        <w:trPr>
          <w:trHeight w:val="1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8F9ED0" w14:textId="77777777" w:rsidR="001960D9" w:rsidRPr="00A217A6" w:rsidRDefault="001960D9" w:rsidP="009653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CC69AD" w14:textId="77777777" w:rsidR="001960D9" w:rsidRPr="00A217A6" w:rsidRDefault="001960D9" w:rsidP="009653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1B1B1B"/>
                <w:sz w:val="18"/>
                <w:szCs w:val="18"/>
              </w:rPr>
            </w:pPr>
            <w:r w:rsidRPr="00A217A6">
              <w:rPr>
                <w:rFonts w:ascii="Arial" w:eastAsia="Times New Roman" w:hAnsi="Arial" w:cs="Arial"/>
                <w:color w:val="1B1B1B"/>
                <w:sz w:val="18"/>
                <w:szCs w:val="18"/>
              </w:rPr>
              <w:t>Not coded: Census tract has zero population and no rural-urban identifier information</w:t>
            </w:r>
          </w:p>
        </w:tc>
      </w:tr>
    </w:tbl>
    <w:p w14:paraId="7276C16F" w14:textId="0C5EE685" w:rsidR="001960D9" w:rsidRPr="00E41FCF" w:rsidRDefault="001960D9" w:rsidP="00E41FC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1960D9" w:rsidRPr="00E41FCF" w:rsidSect="00636A25">
      <w:headerReference w:type="default" r:id="rId10"/>
      <w:footerReference w:type="default" r:id="rId1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3E3563" w16cid:durableId="2784B50F"/>
  <w16cid:commentId w16cid:paraId="1B0237A3" w16cid:durableId="2783B7AF"/>
  <w16cid:commentId w16cid:paraId="55C05111" w16cid:durableId="2783B7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979E5" w14:textId="77777777" w:rsidR="00D16320" w:rsidRDefault="00D16320" w:rsidP="007D4354">
      <w:pPr>
        <w:spacing w:after="0" w:line="240" w:lineRule="auto"/>
      </w:pPr>
      <w:r>
        <w:separator/>
      </w:r>
    </w:p>
  </w:endnote>
  <w:endnote w:type="continuationSeparator" w:id="0">
    <w:p w14:paraId="2210F67C" w14:textId="77777777" w:rsidR="00D16320" w:rsidRDefault="00D16320" w:rsidP="007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909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64287" w14:textId="24F58E97" w:rsidR="00636A25" w:rsidRDefault="00636A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5C418D" w14:textId="77777777" w:rsidR="00636A25" w:rsidRDefault="00636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90D41" w14:textId="77777777" w:rsidR="00D16320" w:rsidRDefault="00D16320" w:rsidP="007D4354">
      <w:pPr>
        <w:spacing w:after="0" w:line="240" w:lineRule="auto"/>
      </w:pPr>
      <w:r>
        <w:separator/>
      </w:r>
    </w:p>
  </w:footnote>
  <w:footnote w:type="continuationSeparator" w:id="0">
    <w:p w14:paraId="4A30854B" w14:textId="77777777" w:rsidR="00D16320" w:rsidRDefault="00D16320" w:rsidP="007D4354">
      <w:pPr>
        <w:spacing w:after="0" w:line="240" w:lineRule="auto"/>
      </w:pPr>
      <w:r>
        <w:continuationSeparator/>
      </w:r>
    </w:p>
  </w:footnote>
  <w:footnote w:id="1">
    <w:p w14:paraId="3468B65D" w14:textId="16322BC0" w:rsidR="00696F91" w:rsidRDefault="00696F91">
      <w:pPr>
        <w:pStyle w:val="FootnoteText"/>
      </w:pPr>
      <w:r>
        <w:rPr>
          <w:rStyle w:val="FootnoteReference"/>
        </w:rPr>
        <w:footnoteRef/>
      </w:r>
      <w:r>
        <w:t xml:space="preserve"> Only studies which are required to enter individual encounter information for each participant in a study are included in the </w:t>
      </w:r>
      <w:proofErr w:type="spellStart"/>
      <w:r w:rsidR="009862EE">
        <w:t>OnCore</w:t>
      </w:r>
      <w:proofErr w:type="spellEnd"/>
      <w:r w:rsidR="009862EE">
        <w:t xml:space="preserve"> </w:t>
      </w:r>
      <w:r>
        <w:t xml:space="preserve">CRMS and </w:t>
      </w:r>
      <w:r w:rsidRPr="008C5D01">
        <w:t xml:space="preserve">the </w:t>
      </w:r>
      <w:r>
        <w:t>ISP Dashboard.</w:t>
      </w:r>
      <w:r w:rsidR="009862EE">
        <w:t xml:space="preserve"> Excluded from these individual participation records are those studies using summary, aggregated accrual reports of enrollment: non-interventional, international, observational or survey/focus group/interview studies.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F875B" w14:textId="117BE64A" w:rsidR="007D4354" w:rsidRPr="00696F91" w:rsidRDefault="00D16320" w:rsidP="00CC6E7B">
    <w:pPr>
      <w:spacing w:line="264" w:lineRule="auto"/>
      <w:jc w:val="center"/>
      <w:rPr>
        <w:color w:val="323E4F" w:themeColor="text2" w:themeShade="BF"/>
        <w:sz w:val="32"/>
      </w:rPr>
    </w:pPr>
    <w:sdt>
      <w:sdtPr>
        <w:rPr>
          <w:b/>
          <w:color w:val="323E4F" w:themeColor="text2" w:themeShade="BF"/>
          <w:sz w:val="28"/>
          <w:szCs w:val="20"/>
        </w:rPr>
        <w:alias w:val="Title"/>
        <w:id w:val="15524250"/>
        <w:placeholder>
          <w:docPart w:val="6BB8E406E53C482BB5D49B485DABBAE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41FCF" w:rsidRPr="00636A25">
          <w:rPr>
            <w:b/>
            <w:color w:val="323E4F" w:themeColor="text2" w:themeShade="BF"/>
            <w:sz w:val="28"/>
            <w:szCs w:val="20"/>
          </w:rPr>
          <w:t xml:space="preserve">TECHNICAL </w:t>
        </w:r>
        <w:r w:rsidR="00636A25">
          <w:rPr>
            <w:b/>
            <w:color w:val="323E4F" w:themeColor="text2" w:themeShade="BF"/>
            <w:sz w:val="28"/>
            <w:szCs w:val="20"/>
          </w:rPr>
          <w:t xml:space="preserve">APPENDIX </w:t>
        </w:r>
        <w:r w:rsidR="00E41FCF" w:rsidRPr="00636A25">
          <w:rPr>
            <w:b/>
            <w:color w:val="323E4F" w:themeColor="text2" w:themeShade="BF"/>
            <w:sz w:val="28"/>
            <w:szCs w:val="20"/>
          </w:rPr>
          <w:t>Inclusion of Special Populations in Clinical Research Dashboard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2AA"/>
    <w:multiLevelType w:val="hybridMultilevel"/>
    <w:tmpl w:val="B3904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522B6"/>
    <w:multiLevelType w:val="hybridMultilevel"/>
    <w:tmpl w:val="8E7E1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62834"/>
    <w:multiLevelType w:val="hybridMultilevel"/>
    <w:tmpl w:val="217E3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D12DB"/>
    <w:multiLevelType w:val="hybridMultilevel"/>
    <w:tmpl w:val="3B6CE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48677E"/>
    <w:multiLevelType w:val="hybridMultilevel"/>
    <w:tmpl w:val="3FA29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CE6FB5"/>
    <w:multiLevelType w:val="hybridMultilevel"/>
    <w:tmpl w:val="20A479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0E7081"/>
    <w:multiLevelType w:val="hybridMultilevel"/>
    <w:tmpl w:val="5B58C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9D72A0"/>
    <w:multiLevelType w:val="hybridMultilevel"/>
    <w:tmpl w:val="56C8A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57209E"/>
    <w:multiLevelType w:val="hybridMultilevel"/>
    <w:tmpl w:val="20A479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9F2A43"/>
    <w:multiLevelType w:val="hybridMultilevel"/>
    <w:tmpl w:val="FBD843D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DAF68F3"/>
    <w:multiLevelType w:val="hybridMultilevel"/>
    <w:tmpl w:val="20A479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AA"/>
    <w:rsid w:val="00001D69"/>
    <w:rsid w:val="00002370"/>
    <w:rsid w:val="0000362D"/>
    <w:rsid w:val="0000604C"/>
    <w:rsid w:val="00052B4F"/>
    <w:rsid w:val="00057289"/>
    <w:rsid w:val="000750BC"/>
    <w:rsid w:val="000A65CD"/>
    <w:rsid w:val="000B7172"/>
    <w:rsid w:val="000B7BC6"/>
    <w:rsid w:val="000F655C"/>
    <w:rsid w:val="0010642D"/>
    <w:rsid w:val="00115F87"/>
    <w:rsid w:val="001204A6"/>
    <w:rsid w:val="00123163"/>
    <w:rsid w:val="00161DFE"/>
    <w:rsid w:val="001635E6"/>
    <w:rsid w:val="00163FBE"/>
    <w:rsid w:val="00164690"/>
    <w:rsid w:val="00167773"/>
    <w:rsid w:val="001730BB"/>
    <w:rsid w:val="00176C4D"/>
    <w:rsid w:val="0018071E"/>
    <w:rsid w:val="0019268D"/>
    <w:rsid w:val="001960D9"/>
    <w:rsid w:val="001965CD"/>
    <w:rsid w:val="001C3C8B"/>
    <w:rsid w:val="002062E8"/>
    <w:rsid w:val="0021703A"/>
    <w:rsid w:val="002220B5"/>
    <w:rsid w:val="00283775"/>
    <w:rsid w:val="002D28CE"/>
    <w:rsid w:val="002F43C4"/>
    <w:rsid w:val="002F54FC"/>
    <w:rsid w:val="002F76D2"/>
    <w:rsid w:val="0032625E"/>
    <w:rsid w:val="00380603"/>
    <w:rsid w:val="003A3946"/>
    <w:rsid w:val="003B4284"/>
    <w:rsid w:val="003B6514"/>
    <w:rsid w:val="003C45BC"/>
    <w:rsid w:val="003E1A88"/>
    <w:rsid w:val="004055F8"/>
    <w:rsid w:val="004078CC"/>
    <w:rsid w:val="0044489F"/>
    <w:rsid w:val="0045147D"/>
    <w:rsid w:val="00455ABB"/>
    <w:rsid w:val="00462BBB"/>
    <w:rsid w:val="00465CA1"/>
    <w:rsid w:val="004A5F3D"/>
    <w:rsid w:val="004C16E2"/>
    <w:rsid w:val="005001C1"/>
    <w:rsid w:val="00524AAA"/>
    <w:rsid w:val="00567457"/>
    <w:rsid w:val="00597C9C"/>
    <w:rsid w:val="005A143C"/>
    <w:rsid w:val="005D4F9E"/>
    <w:rsid w:val="005F2485"/>
    <w:rsid w:val="00606A52"/>
    <w:rsid w:val="006169BE"/>
    <w:rsid w:val="0062220D"/>
    <w:rsid w:val="00636A25"/>
    <w:rsid w:val="00663270"/>
    <w:rsid w:val="0067787D"/>
    <w:rsid w:val="00683690"/>
    <w:rsid w:val="006870B4"/>
    <w:rsid w:val="00696F91"/>
    <w:rsid w:val="006A372E"/>
    <w:rsid w:val="006A6266"/>
    <w:rsid w:val="006B0BB9"/>
    <w:rsid w:val="006B35DE"/>
    <w:rsid w:val="006C1AAE"/>
    <w:rsid w:val="006F57CD"/>
    <w:rsid w:val="007156B8"/>
    <w:rsid w:val="00725562"/>
    <w:rsid w:val="00734D0C"/>
    <w:rsid w:val="00735443"/>
    <w:rsid w:val="00750061"/>
    <w:rsid w:val="0078554F"/>
    <w:rsid w:val="007926B4"/>
    <w:rsid w:val="00793179"/>
    <w:rsid w:val="007C0F3E"/>
    <w:rsid w:val="007D4354"/>
    <w:rsid w:val="007F1769"/>
    <w:rsid w:val="008467AB"/>
    <w:rsid w:val="008513D8"/>
    <w:rsid w:val="0086427B"/>
    <w:rsid w:val="008825E5"/>
    <w:rsid w:val="00883A86"/>
    <w:rsid w:val="008945C3"/>
    <w:rsid w:val="00897B61"/>
    <w:rsid w:val="008B6DB7"/>
    <w:rsid w:val="008C5D01"/>
    <w:rsid w:val="008D3D10"/>
    <w:rsid w:val="009009FE"/>
    <w:rsid w:val="009020DB"/>
    <w:rsid w:val="009222D5"/>
    <w:rsid w:val="009476E8"/>
    <w:rsid w:val="00953894"/>
    <w:rsid w:val="0096628F"/>
    <w:rsid w:val="00973446"/>
    <w:rsid w:val="0097591B"/>
    <w:rsid w:val="0098624C"/>
    <w:rsid w:val="009862EE"/>
    <w:rsid w:val="00992FB1"/>
    <w:rsid w:val="009A31D4"/>
    <w:rsid w:val="009A5997"/>
    <w:rsid w:val="009B2C4C"/>
    <w:rsid w:val="009D1398"/>
    <w:rsid w:val="009D36A0"/>
    <w:rsid w:val="009E1074"/>
    <w:rsid w:val="00A0183A"/>
    <w:rsid w:val="00A10F6A"/>
    <w:rsid w:val="00A217A6"/>
    <w:rsid w:val="00A632D9"/>
    <w:rsid w:val="00A646A1"/>
    <w:rsid w:val="00A8508C"/>
    <w:rsid w:val="00A96A45"/>
    <w:rsid w:val="00AD3F79"/>
    <w:rsid w:val="00AE1C1F"/>
    <w:rsid w:val="00AE4899"/>
    <w:rsid w:val="00AE6015"/>
    <w:rsid w:val="00B065FE"/>
    <w:rsid w:val="00B200C4"/>
    <w:rsid w:val="00B27DDC"/>
    <w:rsid w:val="00B359FE"/>
    <w:rsid w:val="00B42D25"/>
    <w:rsid w:val="00B44462"/>
    <w:rsid w:val="00B51194"/>
    <w:rsid w:val="00B62DFC"/>
    <w:rsid w:val="00B7115F"/>
    <w:rsid w:val="00B77744"/>
    <w:rsid w:val="00B9772B"/>
    <w:rsid w:val="00BE33CB"/>
    <w:rsid w:val="00BF739C"/>
    <w:rsid w:val="00C20897"/>
    <w:rsid w:val="00C56C37"/>
    <w:rsid w:val="00C61F6D"/>
    <w:rsid w:val="00C844E7"/>
    <w:rsid w:val="00CB1430"/>
    <w:rsid w:val="00CB1EDA"/>
    <w:rsid w:val="00CB5160"/>
    <w:rsid w:val="00CB7DD6"/>
    <w:rsid w:val="00CC0819"/>
    <w:rsid w:val="00CC1180"/>
    <w:rsid w:val="00CC539E"/>
    <w:rsid w:val="00CC6E7B"/>
    <w:rsid w:val="00CD4862"/>
    <w:rsid w:val="00CF1747"/>
    <w:rsid w:val="00CF54AB"/>
    <w:rsid w:val="00D12A41"/>
    <w:rsid w:val="00D16320"/>
    <w:rsid w:val="00D27A60"/>
    <w:rsid w:val="00D64B56"/>
    <w:rsid w:val="00D934F0"/>
    <w:rsid w:val="00DC3F1E"/>
    <w:rsid w:val="00DE4373"/>
    <w:rsid w:val="00DE5939"/>
    <w:rsid w:val="00E00CE2"/>
    <w:rsid w:val="00E35872"/>
    <w:rsid w:val="00E41FCF"/>
    <w:rsid w:val="00E764D8"/>
    <w:rsid w:val="00EC7583"/>
    <w:rsid w:val="00ED0EF1"/>
    <w:rsid w:val="00EE3998"/>
    <w:rsid w:val="00EE757B"/>
    <w:rsid w:val="00F12FDD"/>
    <w:rsid w:val="00F30826"/>
    <w:rsid w:val="00F329EA"/>
    <w:rsid w:val="00F32EA1"/>
    <w:rsid w:val="00F35AAF"/>
    <w:rsid w:val="00F418A2"/>
    <w:rsid w:val="00F42BD5"/>
    <w:rsid w:val="00F62C93"/>
    <w:rsid w:val="00F777E7"/>
    <w:rsid w:val="00FA3F89"/>
    <w:rsid w:val="00FB1652"/>
    <w:rsid w:val="00FB28EC"/>
    <w:rsid w:val="00FC5887"/>
    <w:rsid w:val="00FD2CEB"/>
    <w:rsid w:val="00FE0F68"/>
    <w:rsid w:val="00FE5416"/>
    <w:rsid w:val="00F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ACA6B"/>
  <w15:chartTrackingRefBased/>
  <w15:docId w15:val="{C50D33E2-E72C-4A64-AF3B-62383265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354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E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E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2E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2E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2E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3E1A8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1A8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2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54"/>
  </w:style>
  <w:style w:type="paragraph" w:styleId="Footer">
    <w:name w:val="footer"/>
    <w:basedOn w:val="Normal"/>
    <w:link w:val="FooterChar"/>
    <w:uiPriority w:val="99"/>
    <w:unhideWhenUsed/>
    <w:rsid w:val="007D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54"/>
  </w:style>
  <w:style w:type="paragraph" w:styleId="NormalWeb">
    <w:name w:val="Normal (Web)"/>
    <w:basedOn w:val="Normal"/>
    <w:uiPriority w:val="99"/>
    <w:unhideWhenUsed/>
    <w:rsid w:val="009E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2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8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28EC"/>
    <w:pPr>
      <w:spacing w:after="0" w:line="240" w:lineRule="auto"/>
    </w:pPr>
  </w:style>
  <w:style w:type="table" w:styleId="TableGrid">
    <w:name w:val="Table Grid"/>
    <w:basedOn w:val="TableNormal"/>
    <w:uiPriority w:val="39"/>
    <w:rsid w:val="000A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6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6F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F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6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Populations@dm.duk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rs.usda.gov/data-products/rural-urban-commuting-area-codes.aspx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B8E406E53C482BB5D49B485DABB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7CF5-5339-4AF9-8B82-5F2D0BFC7ACB}"/>
      </w:docPartPr>
      <w:docPartBody>
        <w:p w:rsidR="002379A1" w:rsidRDefault="0078745F" w:rsidP="0078745F">
          <w:pPr>
            <w:pStyle w:val="6BB8E406E53C482BB5D49B485DABBAEA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5F"/>
    <w:rsid w:val="002128A3"/>
    <w:rsid w:val="00214FDD"/>
    <w:rsid w:val="002379A1"/>
    <w:rsid w:val="003031D8"/>
    <w:rsid w:val="00342DDB"/>
    <w:rsid w:val="00480A30"/>
    <w:rsid w:val="00510983"/>
    <w:rsid w:val="005C2C2F"/>
    <w:rsid w:val="005F2CFB"/>
    <w:rsid w:val="006B6FAF"/>
    <w:rsid w:val="00763687"/>
    <w:rsid w:val="0078745F"/>
    <w:rsid w:val="008D3F4A"/>
    <w:rsid w:val="008F31C4"/>
    <w:rsid w:val="00915613"/>
    <w:rsid w:val="00930DD2"/>
    <w:rsid w:val="00994EE0"/>
    <w:rsid w:val="009B45EA"/>
    <w:rsid w:val="00A073C8"/>
    <w:rsid w:val="00B7323E"/>
    <w:rsid w:val="00B739C2"/>
    <w:rsid w:val="00B971AA"/>
    <w:rsid w:val="00C041B6"/>
    <w:rsid w:val="00C45B8D"/>
    <w:rsid w:val="00C903ED"/>
    <w:rsid w:val="00D03019"/>
    <w:rsid w:val="00D15663"/>
    <w:rsid w:val="00D27C56"/>
    <w:rsid w:val="00DB06A5"/>
    <w:rsid w:val="00DB17F7"/>
    <w:rsid w:val="00E7659C"/>
    <w:rsid w:val="00EA5BF0"/>
    <w:rsid w:val="00F07914"/>
    <w:rsid w:val="00F1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B8E406E53C482BB5D49B485DABBAEA">
    <w:name w:val="6BB8E406E53C482BB5D49B485DABBAEA"/>
    <w:rsid w:val="007874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7A695-7AE0-45A1-B7D5-53CBA14B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APPENDIX Inclusion of Special Populations in Clinical Research Dashboard</vt:lpstr>
    </vt:vector>
  </TitlesOfParts>
  <Company>Duke Health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APPENDIX Inclusion of Special Populations in Clinical Research Dashboard</dc:title>
  <dc:subject/>
  <dc:creator>James Goodrich</dc:creator>
  <cp:keywords/>
  <dc:description/>
  <cp:lastModifiedBy>K.K. Lam, Ph.D.</cp:lastModifiedBy>
  <cp:revision>6</cp:revision>
  <dcterms:created xsi:type="dcterms:W3CDTF">2025-01-27T19:24:00Z</dcterms:created>
  <dcterms:modified xsi:type="dcterms:W3CDTF">2025-01-29T18:30:00Z</dcterms:modified>
</cp:coreProperties>
</file>